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EE58B" w14:textId="6AB36C0A" w:rsidR="00360910" w:rsidRPr="00BC62FC" w:rsidRDefault="00360910" w:rsidP="00360910">
      <w:pPr>
        <w:pStyle w:val="3GPPHeader"/>
        <w:spacing w:after="60"/>
        <w:rPr>
          <w:sz w:val="32"/>
          <w:szCs w:val="32"/>
        </w:rPr>
      </w:pPr>
      <w:r w:rsidRPr="00BC62FC">
        <w:t>3GPP TSG-RAN WG1 Meeting #</w:t>
      </w:r>
      <w:r w:rsidR="00F36C74" w:rsidRPr="00BC62FC">
        <w:t>106</w:t>
      </w:r>
      <w:r w:rsidR="00E74935">
        <w:t>bis</w:t>
      </w:r>
      <w:r w:rsidRPr="00BC62FC">
        <w:t>-e</w:t>
      </w:r>
      <w:r w:rsidRPr="00BC62FC">
        <w:tab/>
      </w:r>
      <w:r w:rsidR="00B41FCA" w:rsidRPr="00B41FCA">
        <w:rPr>
          <w:sz w:val="32"/>
          <w:szCs w:val="32"/>
        </w:rPr>
        <w:t>R1-2109930</w:t>
      </w:r>
    </w:p>
    <w:p w14:paraId="1116B66D" w14:textId="77777777" w:rsidR="004F5B6C" w:rsidRDefault="004F5B6C" w:rsidP="004F5B6C">
      <w:pPr>
        <w:pStyle w:val="3GPPHeader"/>
      </w:pPr>
      <w:r>
        <w:t>e-Meeting, October 11</w:t>
      </w:r>
      <w:r>
        <w:rPr>
          <w:vertAlign w:val="superscript"/>
        </w:rPr>
        <w:t>th</w:t>
      </w:r>
      <w:r>
        <w:t xml:space="preserve"> – 19</w:t>
      </w:r>
      <w:r>
        <w:rPr>
          <w:vertAlign w:val="superscript"/>
        </w:rPr>
        <w:t>th</w:t>
      </w:r>
      <w:r>
        <w:t>, 2021</w:t>
      </w:r>
    </w:p>
    <w:p w14:paraId="468E045B" w14:textId="77777777" w:rsidR="00E7243C" w:rsidRPr="00F36C74" w:rsidRDefault="00E7243C" w:rsidP="00357380">
      <w:pPr>
        <w:pStyle w:val="3GPPHeader"/>
      </w:pPr>
    </w:p>
    <w:p w14:paraId="3C6869D1" w14:textId="728712E0" w:rsidR="00E90E49" w:rsidRPr="00F36C74" w:rsidRDefault="00E90E49" w:rsidP="00311702">
      <w:pPr>
        <w:pStyle w:val="3GPPHeader"/>
        <w:rPr>
          <w:sz w:val="22"/>
        </w:rPr>
      </w:pPr>
      <w:r w:rsidRPr="00F36C74">
        <w:rPr>
          <w:sz w:val="22"/>
        </w:rPr>
        <w:t>Agenda Item:</w:t>
      </w:r>
      <w:r w:rsidRPr="00F36C74">
        <w:rPr>
          <w:sz w:val="22"/>
        </w:rPr>
        <w:tab/>
      </w:r>
      <w:r w:rsidR="007434CD" w:rsidRPr="00F36C74">
        <w:rPr>
          <w:sz w:val="22"/>
        </w:rPr>
        <w:t>8</w:t>
      </w:r>
      <w:r w:rsidR="006500B6" w:rsidRPr="00F36C74">
        <w:rPr>
          <w:sz w:val="22"/>
        </w:rPr>
        <w:t>.</w:t>
      </w:r>
      <w:r w:rsidR="007434CD" w:rsidRPr="00F36C74">
        <w:rPr>
          <w:sz w:val="22"/>
        </w:rPr>
        <w:t>4.</w:t>
      </w:r>
      <w:r w:rsidR="00E137F5" w:rsidRPr="00F36C74">
        <w:rPr>
          <w:sz w:val="22"/>
        </w:rPr>
        <w:t>4</w:t>
      </w:r>
    </w:p>
    <w:p w14:paraId="0CB055DD" w14:textId="77777777" w:rsidR="00E90E49" w:rsidRPr="00DF3509" w:rsidRDefault="003D3C45" w:rsidP="00F64C2B">
      <w:pPr>
        <w:pStyle w:val="3GPPHeader"/>
        <w:rPr>
          <w:sz w:val="22"/>
        </w:rPr>
      </w:pPr>
      <w:r w:rsidRPr="001C50DB">
        <w:rPr>
          <w:sz w:val="22"/>
        </w:rPr>
        <w:t>Source:</w:t>
      </w:r>
      <w:r w:rsidR="00E90E49" w:rsidRPr="00DF3509">
        <w:rPr>
          <w:sz w:val="22"/>
        </w:rPr>
        <w:tab/>
      </w:r>
      <w:r w:rsidR="00F64C2B" w:rsidRPr="00DF3509">
        <w:rPr>
          <w:sz w:val="22"/>
        </w:rPr>
        <w:t>Ericsson</w:t>
      </w:r>
    </w:p>
    <w:p w14:paraId="63DAB814" w14:textId="2D17A535" w:rsidR="00E90E49" w:rsidRPr="00DF3509" w:rsidRDefault="003D3C45" w:rsidP="00311702">
      <w:pPr>
        <w:pStyle w:val="3GPPHeader"/>
        <w:rPr>
          <w:sz w:val="22"/>
        </w:rPr>
      </w:pPr>
      <w:r w:rsidRPr="00DF3509">
        <w:rPr>
          <w:sz w:val="22"/>
        </w:rPr>
        <w:t>Title:</w:t>
      </w:r>
      <w:r w:rsidR="00E90E49" w:rsidRPr="00DF3509">
        <w:rPr>
          <w:sz w:val="22"/>
        </w:rPr>
        <w:tab/>
      </w:r>
      <w:r w:rsidR="00915D11" w:rsidRPr="00DF3509">
        <w:rPr>
          <w:sz w:val="22"/>
        </w:rPr>
        <w:t xml:space="preserve">On </w:t>
      </w:r>
      <w:r w:rsidR="00892DDC" w:rsidRPr="00DF3509">
        <w:rPr>
          <w:sz w:val="22"/>
        </w:rPr>
        <w:t>other</w:t>
      </w:r>
      <w:r w:rsidR="007434CD" w:rsidRPr="00DF3509">
        <w:rPr>
          <w:sz w:val="22"/>
        </w:rPr>
        <w:t xml:space="preserve"> enhancements</w:t>
      </w:r>
      <w:r w:rsidR="00915D11" w:rsidRPr="00DF3509">
        <w:rPr>
          <w:sz w:val="22"/>
        </w:rPr>
        <w:t xml:space="preserve"> for NTN</w:t>
      </w:r>
    </w:p>
    <w:p w14:paraId="76893D37" w14:textId="6ED9F32B" w:rsidR="00E90E49" w:rsidRPr="00DF3509" w:rsidRDefault="00E90E49" w:rsidP="000E5128">
      <w:pPr>
        <w:pStyle w:val="3GPPHeader"/>
        <w:rPr>
          <w:sz w:val="22"/>
        </w:rPr>
      </w:pPr>
      <w:r w:rsidRPr="00DF3509">
        <w:rPr>
          <w:sz w:val="22"/>
        </w:rPr>
        <w:t>Document for:</w:t>
      </w:r>
      <w:r w:rsidRPr="00DF3509">
        <w:rPr>
          <w:sz w:val="22"/>
        </w:rPr>
        <w:tab/>
        <w:t>Discussion</w:t>
      </w:r>
    </w:p>
    <w:p w14:paraId="09FE4FCF" w14:textId="77777777" w:rsidR="00E90E49" w:rsidRPr="00A94C7B" w:rsidRDefault="00230D18" w:rsidP="00CE0424">
      <w:pPr>
        <w:pStyle w:val="Heading1"/>
        <w:rPr>
          <w:lang w:val="en-US"/>
        </w:rPr>
      </w:pPr>
      <w:r w:rsidRPr="00DF3509">
        <w:rPr>
          <w:lang w:val="en-US"/>
        </w:rPr>
        <w:t>1</w:t>
      </w:r>
      <w:r w:rsidRPr="00DF3509">
        <w:rPr>
          <w:lang w:val="en-US"/>
        </w:rPr>
        <w:tab/>
      </w:r>
      <w:r w:rsidR="00E90E49" w:rsidRPr="002835D9">
        <w:rPr>
          <w:lang w:val="en-US"/>
        </w:rPr>
        <w:t>Introduction</w:t>
      </w:r>
    </w:p>
    <w:p w14:paraId="3A9A5C83" w14:textId="2FC5EC11" w:rsidR="004F5B6C" w:rsidRDefault="007434CD" w:rsidP="00892DDC">
      <w:pPr>
        <w:jc w:val="both"/>
        <w:rPr>
          <w:rFonts w:ascii="Arial" w:hAnsi="Arial"/>
        </w:rPr>
      </w:pPr>
      <w:r w:rsidRPr="00F36C74">
        <w:rPr>
          <w:rFonts w:ascii="Arial" w:hAnsi="Arial"/>
        </w:rPr>
        <w:t>The work item on solutions for NR to support non-terrestrial networks (NTN) was approved at RAN#86</w:t>
      </w:r>
      <w:r w:rsidR="0081032C" w:rsidRPr="00F36C74">
        <w:rPr>
          <w:rFonts w:ascii="Arial" w:hAnsi="Arial"/>
        </w:rPr>
        <w:t xml:space="preserve"> and the work item description is updated in</w:t>
      </w:r>
      <w:r w:rsidR="00AB7A4E">
        <w:rPr>
          <w:rFonts w:ascii="Arial" w:hAnsi="Arial"/>
        </w:rPr>
        <w:t xml:space="preserve"> </w:t>
      </w:r>
      <w:r w:rsidR="00AB7A4E">
        <w:rPr>
          <w:rFonts w:ascii="Arial" w:hAnsi="Arial"/>
        </w:rPr>
        <w:fldChar w:fldCharType="begin"/>
      </w:r>
      <w:r w:rsidR="00AB7A4E">
        <w:rPr>
          <w:rFonts w:ascii="Arial" w:hAnsi="Arial"/>
        </w:rPr>
        <w:instrText xml:space="preserve"> REF _Ref79161688 \r \h </w:instrText>
      </w:r>
      <w:r w:rsidR="00AB7A4E">
        <w:rPr>
          <w:rFonts w:ascii="Arial" w:hAnsi="Arial"/>
        </w:rPr>
      </w:r>
      <w:r w:rsidR="00AB7A4E">
        <w:rPr>
          <w:rFonts w:ascii="Arial" w:hAnsi="Arial"/>
        </w:rPr>
        <w:fldChar w:fldCharType="separate"/>
      </w:r>
      <w:r w:rsidR="00B332D4">
        <w:rPr>
          <w:rFonts w:ascii="Arial" w:hAnsi="Arial"/>
        </w:rPr>
        <w:t>[1]</w:t>
      </w:r>
      <w:r w:rsidR="00AB7A4E">
        <w:rPr>
          <w:rFonts w:ascii="Arial" w:hAnsi="Arial"/>
        </w:rPr>
        <w:fldChar w:fldCharType="end"/>
      </w:r>
      <w:r w:rsidRPr="00F36C74">
        <w:rPr>
          <w:rFonts w:ascii="Arial" w:hAnsi="Arial"/>
        </w:rPr>
        <w:t xml:space="preserve">. </w:t>
      </w:r>
      <w:r w:rsidR="004F5B6C" w:rsidRPr="0063525B">
        <w:rPr>
          <w:rFonts w:ascii="Arial" w:hAnsi="Arial"/>
        </w:rPr>
        <w:t xml:space="preserve">An </w:t>
      </w:r>
      <w:r w:rsidR="004F5B6C">
        <w:rPr>
          <w:rFonts w:ascii="Arial" w:hAnsi="Arial"/>
        </w:rPr>
        <w:t>o</w:t>
      </w:r>
      <w:r w:rsidR="004F5B6C" w:rsidRPr="0063525B">
        <w:rPr>
          <w:rFonts w:ascii="Arial" w:hAnsi="Arial"/>
        </w:rPr>
        <w:t xml:space="preserve">verview of 3GPP </w:t>
      </w:r>
      <w:r w:rsidR="004F5B6C">
        <w:rPr>
          <w:rFonts w:ascii="Arial" w:hAnsi="Arial"/>
        </w:rPr>
        <w:t>n</w:t>
      </w:r>
      <w:r w:rsidR="004F5B6C" w:rsidRPr="0063525B">
        <w:rPr>
          <w:rFonts w:ascii="Arial" w:hAnsi="Arial"/>
        </w:rPr>
        <w:t>on-</w:t>
      </w:r>
      <w:r w:rsidR="004F5B6C">
        <w:rPr>
          <w:rFonts w:ascii="Arial" w:hAnsi="Arial"/>
        </w:rPr>
        <w:t>t</w:t>
      </w:r>
      <w:r w:rsidR="004F5B6C" w:rsidRPr="0063525B">
        <w:rPr>
          <w:rFonts w:ascii="Arial" w:hAnsi="Arial"/>
        </w:rPr>
        <w:t xml:space="preserve">errestrial </w:t>
      </w:r>
      <w:r w:rsidR="004F5B6C">
        <w:rPr>
          <w:rFonts w:ascii="Arial" w:hAnsi="Arial"/>
        </w:rPr>
        <w:t>n</w:t>
      </w:r>
      <w:r w:rsidR="004F5B6C" w:rsidRPr="0063525B">
        <w:rPr>
          <w:rFonts w:ascii="Arial" w:hAnsi="Arial"/>
        </w:rPr>
        <w:t>etworks</w:t>
      </w:r>
      <w:r w:rsidR="004F5B6C">
        <w:rPr>
          <w:rFonts w:ascii="Arial" w:hAnsi="Arial"/>
        </w:rPr>
        <w:t xml:space="preserve"> can be found in</w:t>
      </w:r>
      <w:r w:rsidR="004B5748">
        <w:rPr>
          <w:rFonts w:ascii="Arial" w:hAnsi="Arial"/>
        </w:rPr>
        <w:t xml:space="preserve"> </w:t>
      </w:r>
      <w:r w:rsidR="004B5748">
        <w:rPr>
          <w:rFonts w:ascii="Arial" w:hAnsi="Arial"/>
        </w:rPr>
        <w:fldChar w:fldCharType="begin"/>
      </w:r>
      <w:r w:rsidR="004B5748">
        <w:rPr>
          <w:rFonts w:ascii="Arial" w:hAnsi="Arial"/>
        </w:rPr>
        <w:instrText xml:space="preserve"> REF _Ref83548415 \r \h </w:instrText>
      </w:r>
      <w:r w:rsidR="004B5748">
        <w:rPr>
          <w:rFonts w:ascii="Arial" w:hAnsi="Arial"/>
        </w:rPr>
      </w:r>
      <w:r w:rsidR="004B5748">
        <w:rPr>
          <w:rFonts w:ascii="Arial" w:hAnsi="Arial"/>
        </w:rPr>
        <w:fldChar w:fldCharType="separate"/>
      </w:r>
      <w:r w:rsidR="00B332D4">
        <w:rPr>
          <w:rFonts w:ascii="Arial" w:hAnsi="Arial"/>
        </w:rPr>
        <w:t>[2]</w:t>
      </w:r>
      <w:r w:rsidR="004B5748">
        <w:rPr>
          <w:rFonts w:ascii="Arial" w:hAnsi="Arial"/>
        </w:rPr>
        <w:fldChar w:fldCharType="end"/>
      </w:r>
      <w:r w:rsidR="004F5B6C">
        <w:rPr>
          <w:rFonts w:ascii="Arial" w:hAnsi="Arial"/>
        </w:rPr>
        <w:t xml:space="preserve"> and</w:t>
      </w:r>
      <w:r w:rsidR="004F5B6C" w:rsidRPr="00F20B90">
        <w:rPr>
          <w:rFonts w:ascii="Arial" w:hAnsi="Arial"/>
        </w:rPr>
        <w:t xml:space="preserve"> an overview of state of the art in LEO satellite access</w:t>
      </w:r>
      <w:r w:rsidR="004F5B6C">
        <w:rPr>
          <w:rFonts w:ascii="Arial" w:hAnsi="Arial"/>
        </w:rPr>
        <w:t xml:space="preserve"> can be found in</w:t>
      </w:r>
      <w:r w:rsidR="004B5748">
        <w:rPr>
          <w:rFonts w:ascii="Arial" w:hAnsi="Arial"/>
        </w:rPr>
        <w:t xml:space="preserve"> </w:t>
      </w:r>
      <w:r w:rsidR="004B5748">
        <w:rPr>
          <w:rFonts w:ascii="Arial" w:hAnsi="Arial"/>
        </w:rPr>
        <w:fldChar w:fldCharType="begin"/>
      </w:r>
      <w:r w:rsidR="004B5748">
        <w:rPr>
          <w:rFonts w:ascii="Arial" w:hAnsi="Arial"/>
        </w:rPr>
        <w:instrText xml:space="preserve"> REF _Ref82507023 \r \h </w:instrText>
      </w:r>
      <w:r w:rsidR="004B5748">
        <w:rPr>
          <w:rFonts w:ascii="Arial" w:hAnsi="Arial"/>
        </w:rPr>
      </w:r>
      <w:r w:rsidR="004B5748">
        <w:rPr>
          <w:rFonts w:ascii="Arial" w:hAnsi="Arial"/>
        </w:rPr>
        <w:fldChar w:fldCharType="separate"/>
      </w:r>
      <w:r w:rsidR="00B332D4">
        <w:rPr>
          <w:rFonts w:ascii="Arial" w:hAnsi="Arial"/>
        </w:rPr>
        <w:t>[3]</w:t>
      </w:r>
      <w:r w:rsidR="004B5748">
        <w:rPr>
          <w:rFonts w:ascii="Arial" w:hAnsi="Arial"/>
        </w:rPr>
        <w:fldChar w:fldCharType="end"/>
      </w:r>
      <w:r w:rsidR="004F5B6C">
        <w:rPr>
          <w:rFonts w:ascii="Arial" w:hAnsi="Arial"/>
        </w:rPr>
        <w:t>.</w:t>
      </w:r>
    </w:p>
    <w:p w14:paraId="6721924B" w14:textId="5655F4BA" w:rsidR="00892DDC" w:rsidRPr="00F36C74" w:rsidRDefault="00892DDC" w:rsidP="00892DDC">
      <w:pPr>
        <w:jc w:val="both"/>
        <w:rPr>
          <w:rFonts w:ascii="Arial" w:hAnsi="Arial"/>
        </w:rPr>
      </w:pPr>
      <w:r w:rsidRPr="00F36C74">
        <w:rPr>
          <w:rFonts w:ascii="Arial" w:hAnsi="Arial"/>
        </w:rPr>
        <w:t>One objective is to specify the following topics if beneficial and needed:</w:t>
      </w:r>
    </w:p>
    <w:p w14:paraId="339A4FEF" w14:textId="121CF593" w:rsidR="00FB4D5A" w:rsidRPr="00F36C74" w:rsidRDefault="00892DDC" w:rsidP="000E5128">
      <w:pPr>
        <w:jc w:val="both"/>
        <w:rPr>
          <w:rFonts w:ascii="Arial" w:hAnsi="Arial"/>
        </w:rPr>
      </w:pPr>
      <w:r w:rsidRPr="00F36C74">
        <w:rPr>
          <w:noProof/>
          <w:sz w:val="20"/>
          <w:szCs w:val="20"/>
        </w:rPr>
        <mc:AlternateContent>
          <mc:Choice Requires="wps">
            <w:drawing>
              <wp:inline distT="0" distB="0" distL="0" distR="0" wp14:anchorId="0E8A56F2" wp14:editId="524FA6CA">
                <wp:extent cx="6140370" cy="1325302"/>
                <wp:effectExtent l="0" t="0" r="1333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370" cy="1325302"/>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3D6969" w:rsidRPr="00B263C5" w:rsidRDefault="003D6969"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D6969" w:rsidRPr="00B263C5" w:rsidRDefault="003D6969"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D6969" w:rsidRPr="00EE564D" w:rsidRDefault="003D6969"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3.5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" fillcolor="white [3201]" strokeweight=".5pt">
                <v:textbox>
                  <w:txbxContent>
                    <w:p w14:paraId="0E852511" w14:textId="4F8A9DB9" w:rsidR="003D6969" w:rsidRPr="00B263C5" w:rsidRDefault="003D6969"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D6969" w:rsidRPr="00B263C5" w:rsidRDefault="003D6969"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D6969" w:rsidRPr="00EE564D" w:rsidRDefault="003D6969" w:rsidP="00892DDC">
                      <w:pPr>
                        <w:jc w:val="both"/>
                        <w:rPr>
                          <w:rFonts w:ascii="Arial" w:hAnsi="Arial"/>
                          <w:lang w:eastAsia="ja-JP"/>
                        </w:rPr>
                      </w:pPr>
                    </w:p>
                  </w:txbxContent>
                </v:textbox>
                <w10:anchorlock/>
              </v:shape>
            </w:pict>
          </mc:Fallback>
        </mc:AlternateContent>
      </w:r>
    </w:p>
    <w:p w14:paraId="004ABD40" w14:textId="607ECC27" w:rsidR="00BD19AB" w:rsidRPr="00F36C74" w:rsidRDefault="00892DDC" w:rsidP="00026E66">
      <w:pPr>
        <w:jc w:val="both"/>
        <w:rPr>
          <w:rFonts w:ascii="Arial" w:hAnsi="Arial"/>
        </w:rPr>
      </w:pPr>
      <w:r w:rsidRPr="00F36C74">
        <w:rPr>
          <w:rFonts w:ascii="Arial" w:hAnsi="Arial"/>
        </w:rPr>
        <w:t>In this contribution, we discuss these topics for NTN.</w:t>
      </w:r>
    </w:p>
    <w:p w14:paraId="0892511B" w14:textId="05497744" w:rsidR="00B263C5" w:rsidRPr="00A94C7B" w:rsidRDefault="00026E66" w:rsidP="00B263C5">
      <w:pPr>
        <w:pStyle w:val="Heading1"/>
        <w:rPr>
          <w:lang w:val="en-US"/>
        </w:rPr>
      </w:pPr>
      <w:r w:rsidRPr="00DF3509">
        <w:rPr>
          <w:lang w:val="en-US"/>
        </w:rPr>
        <w:t>2</w:t>
      </w:r>
      <w:r w:rsidR="00B263C5" w:rsidRPr="00A94C7B">
        <w:rPr>
          <w:lang w:val="en-US"/>
        </w:rPr>
        <w:tab/>
      </w:r>
      <w:r w:rsidR="007A3BCC" w:rsidRPr="00A94C7B">
        <w:rPr>
          <w:lang w:val="en-US"/>
        </w:rPr>
        <w:t>Beam management</w:t>
      </w:r>
      <w:r w:rsidRPr="00A94C7B">
        <w:rPr>
          <w:lang w:val="en-US"/>
        </w:rPr>
        <w:t xml:space="preserve"> and</w:t>
      </w:r>
      <w:r w:rsidR="007A3BCC" w:rsidRPr="00A94C7B">
        <w:rPr>
          <w:lang w:val="en-US"/>
        </w:rPr>
        <w:t xml:space="preserve"> BWP operation</w:t>
      </w:r>
    </w:p>
    <w:p w14:paraId="758512E1" w14:textId="5C036BA5" w:rsidR="00156B5D" w:rsidRPr="00DF3509" w:rsidRDefault="008D7779" w:rsidP="00BD19AB">
      <w:pPr>
        <w:jc w:val="both"/>
        <w:rPr>
          <w:rFonts w:asciiTheme="minorBidi" w:hAnsiTheme="minorBidi"/>
          <w:lang w:eastAsia="ja-JP"/>
        </w:rPr>
      </w:pPr>
      <w:r w:rsidRPr="00F36C74">
        <w:rPr>
          <w:rFonts w:asciiTheme="minorBidi" w:hAnsiTheme="minorBidi"/>
          <w:lang w:eastAsia="ja-JP"/>
        </w:rPr>
        <w:t>In this section</w:t>
      </w:r>
      <w:r w:rsidR="00A00641" w:rsidRPr="00F36C74">
        <w:rPr>
          <w:rFonts w:asciiTheme="minorBidi" w:hAnsiTheme="minorBidi"/>
          <w:lang w:eastAsia="ja-JP"/>
        </w:rPr>
        <w:t>,</w:t>
      </w:r>
      <w:r w:rsidRPr="00F36C74">
        <w:rPr>
          <w:rFonts w:asciiTheme="minorBidi" w:hAnsiTheme="minorBidi"/>
          <w:lang w:eastAsia="ja-JP"/>
        </w:rPr>
        <w:t xml:space="preserve"> we discuss the necessity of potential enhancement for beam </w:t>
      </w:r>
      <w:r w:rsidR="00E13052" w:rsidRPr="00F36C74">
        <w:rPr>
          <w:rFonts w:asciiTheme="minorBidi" w:hAnsiTheme="minorBidi"/>
          <w:lang w:eastAsia="ja-JP"/>
        </w:rPr>
        <w:t>management</w:t>
      </w:r>
      <w:r w:rsidR="00903768" w:rsidRPr="00F36C74">
        <w:rPr>
          <w:rFonts w:asciiTheme="minorBidi" w:hAnsiTheme="minorBidi"/>
          <w:lang w:eastAsia="ja-JP"/>
        </w:rPr>
        <w:t xml:space="preserve"> </w:t>
      </w:r>
      <w:r w:rsidR="00156B5D" w:rsidRPr="00F36C74">
        <w:rPr>
          <w:rFonts w:asciiTheme="minorBidi" w:hAnsiTheme="minorBidi"/>
          <w:lang w:eastAsia="ja-JP"/>
        </w:rPr>
        <w:t>and BWP operation.</w:t>
      </w:r>
      <w:r w:rsidR="00635542" w:rsidRPr="00F36C74">
        <w:rPr>
          <w:rFonts w:asciiTheme="minorBidi" w:hAnsiTheme="minorBidi"/>
          <w:lang w:eastAsia="ja-JP"/>
        </w:rPr>
        <w:t xml:space="preserve"> </w:t>
      </w:r>
    </w:p>
    <w:p w14:paraId="1B40D6BC" w14:textId="6E8B63B3" w:rsidR="003D325B" w:rsidRPr="00F36C74" w:rsidRDefault="0048711B" w:rsidP="00BD19AB">
      <w:pPr>
        <w:jc w:val="both"/>
        <w:rPr>
          <w:rFonts w:asciiTheme="minorBidi" w:hAnsiTheme="minorBidi"/>
          <w:lang w:eastAsia="ja-JP"/>
        </w:rPr>
      </w:pPr>
      <w:r w:rsidRPr="00DF3509">
        <w:rPr>
          <w:rFonts w:asciiTheme="minorBidi" w:hAnsiTheme="minorBidi"/>
          <w:lang w:eastAsia="ja-JP"/>
        </w:rPr>
        <w:t>To this end</w:t>
      </w:r>
      <w:r w:rsidR="000C3535" w:rsidRPr="00DF3509">
        <w:rPr>
          <w:rFonts w:asciiTheme="minorBidi" w:hAnsiTheme="minorBidi"/>
          <w:lang w:eastAsia="ja-JP"/>
        </w:rPr>
        <w:t xml:space="preserve">, it </w:t>
      </w:r>
      <w:r w:rsidR="00156B5D" w:rsidRPr="00DF3509">
        <w:rPr>
          <w:rFonts w:asciiTheme="minorBidi" w:hAnsiTheme="minorBidi"/>
          <w:lang w:eastAsia="ja-JP"/>
        </w:rPr>
        <w:t>is</w:t>
      </w:r>
      <w:r w:rsidR="000C3535" w:rsidRPr="00DF3509">
        <w:rPr>
          <w:rFonts w:asciiTheme="minorBidi" w:hAnsiTheme="minorBidi"/>
          <w:lang w:eastAsia="ja-JP"/>
        </w:rPr>
        <w:t xml:space="preserve"> necessary to</w:t>
      </w:r>
      <w:r w:rsidR="00DF6B3F" w:rsidRPr="00DF3509">
        <w:rPr>
          <w:rFonts w:asciiTheme="minorBidi" w:hAnsiTheme="minorBidi"/>
          <w:lang w:eastAsia="ja-JP"/>
        </w:rPr>
        <w:t xml:space="preserve"> first</w:t>
      </w:r>
      <w:r w:rsidR="000C3535" w:rsidRPr="00DF3509">
        <w:rPr>
          <w:rFonts w:asciiTheme="minorBidi" w:hAnsiTheme="minorBidi"/>
          <w:lang w:eastAsia="ja-JP"/>
        </w:rPr>
        <w:t xml:space="preserve"> identify and clarify the underlying problem </w:t>
      </w:r>
      <w:r w:rsidRPr="00DF3509">
        <w:rPr>
          <w:rFonts w:asciiTheme="minorBidi" w:hAnsiTheme="minorBidi"/>
          <w:lang w:eastAsia="ja-JP"/>
        </w:rPr>
        <w:t>if any</w:t>
      </w:r>
      <w:r w:rsidR="000C3535" w:rsidRPr="00DF3509">
        <w:rPr>
          <w:rFonts w:asciiTheme="minorBidi" w:hAnsiTheme="minorBidi"/>
          <w:lang w:eastAsia="ja-JP"/>
        </w:rPr>
        <w:t xml:space="preserve"> for this discussion.</w:t>
      </w:r>
      <w:r w:rsidR="007706DC" w:rsidRPr="00DF3509">
        <w:rPr>
          <w:rFonts w:asciiTheme="minorBidi" w:hAnsiTheme="minorBidi"/>
          <w:lang w:eastAsia="ja-JP"/>
        </w:rPr>
        <w:t xml:space="preserve"> An overview of NR BWP can be found in </w:t>
      </w:r>
      <w:r w:rsidR="007706DC" w:rsidRPr="00F36C74">
        <w:rPr>
          <w:rFonts w:asciiTheme="minorBidi" w:hAnsiTheme="minorBidi"/>
          <w:lang w:eastAsia="ja-JP"/>
        </w:rPr>
        <w:fldChar w:fldCharType="begin"/>
      </w:r>
      <w:r w:rsidR="007706DC" w:rsidRPr="00F36C74">
        <w:rPr>
          <w:rFonts w:asciiTheme="minorBidi" w:hAnsiTheme="minorBidi"/>
          <w:lang w:eastAsia="ja-JP"/>
        </w:rPr>
        <w:instrText xml:space="preserve"> REF _Ref61719569 \r \h </w:instrText>
      </w:r>
      <w:r w:rsidR="007706DC" w:rsidRPr="00F36C74">
        <w:rPr>
          <w:rFonts w:asciiTheme="minorBidi" w:hAnsiTheme="minorBidi"/>
          <w:lang w:eastAsia="ja-JP"/>
        </w:rPr>
      </w:r>
      <w:r w:rsidR="007706DC" w:rsidRPr="00F36C74">
        <w:rPr>
          <w:rFonts w:asciiTheme="minorBidi" w:hAnsiTheme="minorBidi"/>
          <w:lang w:eastAsia="ja-JP"/>
        </w:rPr>
        <w:fldChar w:fldCharType="separate"/>
      </w:r>
      <w:r w:rsidR="00B332D4">
        <w:rPr>
          <w:rFonts w:asciiTheme="minorBidi" w:hAnsiTheme="minorBidi"/>
          <w:lang w:eastAsia="ja-JP"/>
        </w:rPr>
        <w:t>[4]</w:t>
      </w:r>
      <w:r w:rsidR="007706DC" w:rsidRPr="00F36C74">
        <w:rPr>
          <w:rFonts w:asciiTheme="minorBidi" w:hAnsiTheme="minorBidi"/>
          <w:lang w:eastAsia="ja-JP"/>
        </w:rPr>
        <w:fldChar w:fldCharType="end"/>
      </w:r>
      <w:r w:rsidR="007706DC" w:rsidRPr="00F36C74">
        <w:rPr>
          <w:rFonts w:asciiTheme="minorBidi" w:hAnsiTheme="minorBidi"/>
          <w:lang w:eastAsia="ja-JP"/>
        </w:rPr>
        <w:t>.</w:t>
      </w:r>
      <w:r w:rsidR="00635542" w:rsidRPr="00F36C74">
        <w:rPr>
          <w:rFonts w:asciiTheme="minorBidi" w:hAnsiTheme="minorBidi"/>
          <w:lang w:eastAsia="ja-JP"/>
        </w:rPr>
        <w:t xml:space="preserve"> </w:t>
      </w:r>
    </w:p>
    <w:p w14:paraId="4260F5F6" w14:textId="297C4EF3" w:rsidR="00840D32" w:rsidRPr="00A94C7B" w:rsidRDefault="00840D32" w:rsidP="00840D32">
      <w:pPr>
        <w:pStyle w:val="Heading2"/>
        <w:rPr>
          <w:lang w:val="en-US"/>
        </w:rPr>
      </w:pPr>
      <w:r w:rsidRPr="00DF3509">
        <w:rPr>
          <w:lang w:val="en-US"/>
        </w:rPr>
        <w:t>2.1</w:t>
      </w:r>
      <w:r w:rsidR="0048711B" w:rsidRPr="00A94C7B">
        <w:rPr>
          <w:lang w:val="en-US"/>
        </w:rPr>
        <w:tab/>
      </w:r>
      <w:r w:rsidR="00A31232" w:rsidRPr="00A94C7B">
        <w:rPr>
          <w:lang w:val="en-US"/>
        </w:rPr>
        <w:t>Background</w:t>
      </w:r>
      <w:r w:rsidRPr="00A94C7B">
        <w:rPr>
          <w:lang w:val="en-US"/>
        </w:rPr>
        <w:t xml:space="preserve"> for BWP and BM </w:t>
      </w:r>
      <w:r w:rsidR="00A31232" w:rsidRPr="00A94C7B">
        <w:rPr>
          <w:lang w:val="en-US"/>
        </w:rPr>
        <w:t>discussion in NTN</w:t>
      </w:r>
      <w:r w:rsidRPr="00A94C7B">
        <w:rPr>
          <w:lang w:val="en-US"/>
        </w:rPr>
        <w:t xml:space="preserve"> </w:t>
      </w:r>
    </w:p>
    <w:p w14:paraId="7226E7D3" w14:textId="059D0F23" w:rsidR="000C3535" w:rsidRPr="004058FC" w:rsidRDefault="000C3535" w:rsidP="00BD19AB">
      <w:pPr>
        <w:jc w:val="both"/>
        <w:rPr>
          <w:rFonts w:ascii="Arial" w:hAnsi="Arial" w:cs="Arial"/>
          <w:lang w:eastAsia="ja-JP"/>
        </w:rPr>
      </w:pPr>
      <w:r w:rsidRPr="00F36C74">
        <w:rPr>
          <w:rFonts w:ascii="Arial" w:hAnsi="Arial" w:cs="Arial"/>
          <w:lang w:eastAsia="ja-JP"/>
        </w:rPr>
        <w:t xml:space="preserve">During Rel-16 SI as well as Rel-17 WI for NR NTN, </w:t>
      </w:r>
      <w:r w:rsidR="00AE2C95" w:rsidRPr="00F36C74">
        <w:rPr>
          <w:rFonts w:ascii="Arial" w:hAnsi="Arial" w:cs="Arial"/>
          <w:lang w:eastAsia="ja-JP"/>
        </w:rPr>
        <w:t>some</w:t>
      </w:r>
      <w:r w:rsidR="005C2CBB" w:rsidRPr="00F36C74">
        <w:rPr>
          <w:rFonts w:ascii="Arial" w:hAnsi="Arial" w:cs="Arial"/>
          <w:lang w:eastAsia="ja-JP"/>
        </w:rPr>
        <w:t xml:space="preserve"> </w:t>
      </w:r>
      <w:r w:rsidR="005F1537" w:rsidRPr="00F36C74">
        <w:rPr>
          <w:rFonts w:ascii="Arial" w:hAnsi="Arial" w:cs="Arial"/>
          <w:lang w:eastAsia="ja-JP"/>
        </w:rPr>
        <w:t>enhancement</w:t>
      </w:r>
      <w:r w:rsidR="0048711B" w:rsidRPr="00F36C74">
        <w:rPr>
          <w:rFonts w:ascii="Arial" w:hAnsi="Arial" w:cs="Arial"/>
          <w:lang w:eastAsia="ja-JP"/>
        </w:rPr>
        <w:t>s</w:t>
      </w:r>
      <w:r w:rsidR="005F1537" w:rsidRPr="00F36C74">
        <w:rPr>
          <w:rFonts w:ascii="Arial" w:hAnsi="Arial" w:cs="Arial"/>
          <w:lang w:eastAsia="ja-JP"/>
        </w:rPr>
        <w:t xml:space="preserve"> </w:t>
      </w:r>
      <w:r w:rsidR="00F905A5" w:rsidRPr="00F36C74">
        <w:rPr>
          <w:rFonts w:ascii="Arial" w:hAnsi="Arial" w:cs="Arial"/>
          <w:lang w:eastAsia="ja-JP"/>
        </w:rPr>
        <w:t>for</w:t>
      </w:r>
      <w:r w:rsidRPr="00F36C74">
        <w:rPr>
          <w:rFonts w:ascii="Arial" w:hAnsi="Arial" w:cs="Arial"/>
          <w:lang w:eastAsia="ja-JP"/>
        </w:rPr>
        <w:t xml:space="preserve"> BWP and BM operation </w:t>
      </w:r>
      <w:r w:rsidR="005C2CBB" w:rsidRPr="00F36C74">
        <w:rPr>
          <w:rFonts w:ascii="Arial" w:hAnsi="Arial" w:cs="Arial"/>
          <w:lang w:eastAsia="ja-JP"/>
        </w:rPr>
        <w:t>have</w:t>
      </w:r>
      <w:r w:rsidRPr="00F36C74">
        <w:rPr>
          <w:rFonts w:ascii="Arial" w:hAnsi="Arial" w:cs="Arial"/>
          <w:lang w:eastAsia="ja-JP"/>
        </w:rPr>
        <w:t xml:space="preserve"> been proposed</w:t>
      </w:r>
      <w:r w:rsidR="00F905A5" w:rsidRPr="001C50DB">
        <w:rPr>
          <w:rFonts w:ascii="Arial" w:hAnsi="Arial" w:cs="Arial"/>
          <w:lang w:eastAsia="ja-JP"/>
        </w:rPr>
        <w:t xml:space="preserve">. These enhancements </w:t>
      </w:r>
      <w:r w:rsidR="00764698" w:rsidRPr="001C50DB">
        <w:rPr>
          <w:rFonts w:ascii="Arial" w:hAnsi="Arial" w:cs="Arial"/>
          <w:lang w:eastAsia="ja-JP"/>
        </w:rPr>
        <w:t xml:space="preserve">are mainly </w:t>
      </w:r>
      <w:r w:rsidR="0048711B" w:rsidRPr="004058FC">
        <w:rPr>
          <w:rFonts w:ascii="Arial" w:hAnsi="Arial" w:cs="Arial"/>
          <w:lang w:eastAsia="ja-JP"/>
        </w:rPr>
        <w:t>motivated by the following considerations</w:t>
      </w:r>
      <w:r w:rsidRPr="004058FC">
        <w:rPr>
          <w:rFonts w:ascii="Arial" w:hAnsi="Arial" w:cs="Arial"/>
          <w:lang w:eastAsia="ja-JP"/>
        </w:rPr>
        <w:t>:</w:t>
      </w:r>
    </w:p>
    <w:p w14:paraId="030DE975" w14:textId="6B87AFC9" w:rsidR="00C413F0" w:rsidRPr="00A94C7B" w:rsidRDefault="00C413F0" w:rsidP="009618EB">
      <w:pPr>
        <w:pStyle w:val="ListParagraph"/>
        <w:numPr>
          <w:ilvl w:val="0"/>
          <w:numId w:val="18"/>
        </w:numPr>
        <w:jc w:val="both"/>
        <w:rPr>
          <w:rFonts w:ascii="Arial" w:hAnsi="Arial" w:cs="Arial"/>
          <w:lang w:val="en-US" w:eastAsia="ja-JP"/>
        </w:rPr>
      </w:pPr>
      <w:r w:rsidRPr="00DF3509">
        <w:rPr>
          <w:rFonts w:ascii="Arial" w:hAnsi="Arial" w:cs="Arial"/>
          <w:lang w:val="en-US" w:eastAsia="ja-JP"/>
        </w:rPr>
        <w:t xml:space="preserve">Using L1 beam switching procedures for </w:t>
      </w:r>
      <w:r w:rsidR="005B0BF6" w:rsidRPr="002835D9">
        <w:rPr>
          <w:rFonts w:ascii="Arial" w:hAnsi="Arial" w:cs="Arial"/>
          <w:lang w:val="en-US" w:eastAsia="ja-JP"/>
        </w:rPr>
        <w:t xml:space="preserve">satellite </w:t>
      </w:r>
      <w:r w:rsidRPr="00A94C7B">
        <w:rPr>
          <w:rFonts w:ascii="Arial" w:hAnsi="Arial" w:cs="Arial"/>
          <w:lang w:val="en-US" w:eastAsia="ja-JP"/>
        </w:rPr>
        <w:t xml:space="preserve">service link switching, mainly for LEO satellite operation. The alternative here is to use handover procedures when UEs need to be </w:t>
      </w:r>
      <w:r w:rsidR="00C55A05" w:rsidRPr="00A94C7B">
        <w:rPr>
          <w:rFonts w:ascii="Arial" w:hAnsi="Arial" w:cs="Arial"/>
          <w:lang w:val="en-US" w:eastAsia="ja-JP"/>
        </w:rPr>
        <w:t>switch</w:t>
      </w:r>
      <w:r w:rsidR="00D84C78" w:rsidRPr="00A94C7B">
        <w:rPr>
          <w:rFonts w:ascii="Arial" w:hAnsi="Arial" w:cs="Arial"/>
          <w:lang w:val="en-US" w:eastAsia="ja-JP"/>
        </w:rPr>
        <w:t>ed</w:t>
      </w:r>
      <w:r w:rsidR="00C55A05" w:rsidRPr="00A94C7B">
        <w:rPr>
          <w:rFonts w:ascii="Arial" w:hAnsi="Arial" w:cs="Arial"/>
          <w:lang w:val="en-US" w:eastAsia="ja-JP"/>
        </w:rPr>
        <w:t xml:space="preserve"> to </w:t>
      </w:r>
      <w:r w:rsidR="00D84C78" w:rsidRPr="00A94C7B">
        <w:rPr>
          <w:rFonts w:ascii="Arial" w:hAnsi="Arial" w:cs="Arial"/>
          <w:lang w:val="en-US" w:eastAsia="ja-JP"/>
        </w:rPr>
        <w:t>a</w:t>
      </w:r>
      <w:r w:rsidRPr="00A94C7B">
        <w:rPr>
          <w:rFonts w:ascii="Arial" w:hAnsi="Arial" w:cs="Arial"/>
          <w:lang w:val="en-US" w:eastAsia="ja-JP"/>
        </w:rPr>
        <w:t xml:space="preserve"> new satellite. </w:t>
      </w:r>
    </w:p>
    <w:p w14:paraId="6DAD1547" w14:textId="31B77997" w:rsidR="000C3535" w:rsidRPr="00A94C7B" w:rsidRDefault="00A12EE9" w:rsidP="009618EB">
      <w:pPr>
        <w:pStyle w:val="ListParagraph"/>
        <w:numPr>
          <w:ilvl w:val="0"/>
          <w:numId w:val="18"/>
        </w:numPr>
        <w:jc w:val="both"/>
        <w:rPr>
          <w:rFonts w:ascii="Arial" w:hAnsi="Arial" w:cs="Arial"/>
          <w:lang w:val="en-US" w:eastAsia="ja-JP"/>
        </w:rPr>
      </w:pPr>
      <w:r w:rsidRPr="00A94C7B">
        <w:rPr>
          <w:rFonts w:ascii="Arial" w:hAnsi="Arial" w:cs="Arial"/>
          <w:lang w:val="en-US" w:eastAsia="ja-JP"/>
        </w:rPr>
        <w:lastRenderedPageBreak/>
        <w:t>Providing frequency reuse scheme for NTN deployment using NR BWP concept for multiple beam</w:t>
      </w:r>
      <w:r w:rsidR="00D84C78" w:rsidRPr="00A94C7B">
        <w:rPr>
          <w:rFonts w:ascii="Arial" w:hAnsi="Arial" w:cs="Arial"/>
          <w:lang w:val="en-US" w:eastAsia="ja-JP"/>
        </w:rPr>
        <w:t>s</w:t>
      </w:r>
      <w:r w:rsidRPr="00A94C7B">
        <w:rPr>
          <w:rFonts w:ascii="Arial" w:hAnsi="Arial" w:cs="Arial"/>
          <w:lang w:val="en-US" w:eastAsia="ja-JP"/>
        </w:rPr>
        <w:t xml:space="preserve"> per cell layout</w:t>
      </w:r>
      <w:r w:rsidR="008363B5" w:rsidRPr="00A94C7B">
        <w:rPr>
          <w:rFonts w:ascii="Arial" w:hAnsi="Arial" w:cs="Arial"/>
          <w:lang w:val="en-US" w:eastAsia="ja-JP"/>
        </w:rPr>
        <w:t xml:space="preserve"> and using BM for handling UE mobility within </w:t>
      </w:r>
      <w:r w:rsidR="003335E2" w:rsidRPr="00A94C7B">
        <w:rPr>
          <w:rFonts w:ascii="Arial" w:hAnsi="Arial" w:cs="Arial"/>
          <w:lang w:val="en-US" w:eastAsia="ja-JP"/>
        </w:rPr>
        <w:t>the same</w:t>
      </w:r>
      <w:r w:rsidR="008363B5" w:rsidRPr="00A94C7B">
        <w:rPr>
          <w:rFonts w:ascii="Arial" w:hAnsi="Arial" w:cs="Arial"/>
          <w:lang w:val="en-US" w:eastAsia="ja-JP"/>
        </w:rPr>
        <w:t xml:space="preserve"> cell</w:t>
      </w:r>
      <w:r w:rsidRPr="00A94C7B">
        <w:rPr>
          <w:rFonts w:ascii="Arial" w:hAnsi="Arial" w:cs="Arial"/>
          <w:lang w:val="en-US" w:eastAsia="ja-JP"/>
        </w:rPr>
        <w:t xml:space="preserve">. The alternative solution </w:t>
      </w:r>
      <w:r w:rsidR="001344BF" w:rsidRPr="00A94C7B">
        <w:rPr>
          <w:rFonts w:ascii="Arial" w:hAnsi="Arial" w:cs="Arial"/>
          <w:lang w:val="en-US" w:eastAsia="ja-JP"/>
        </w:rPr>
        <w:t>is to</w:t>
      </w:r>
      <w:r w:rsidRPr="00A94C7B">
        <w:rPr>
          <w:rFonts w:ascii="Arial" w:hAnsi="Arial" w:cs="Arial"/>
          <w:lang w:val="en-US" w:eastAsia="ja-JP"/>
        </w:rPr>
        <w:t xml:space="preserve"> use one beam per cell </w:t>
      </w:r>
      <w:r w:rsidR="00D84C78" w:rsidRPr="00A94C7B">
        <w:rPr>
          <w:rFonts w:ascii="Arial" w:hAnsi="Arial" w:cs="Arial"/>
          <w:lang w:val="en-US" w:eastAsia="ja-JP"/>
        </w:rPr>
        <w:t xml:space="preserve">or </w:t>
      </w:r>
      <w:r w:rsidR="001344BF" w:rsidRPr="00A94C7B">
        <w:rPr>
          <w:rFonts w:ascii="Arial" w:hAnsi="Arial" w:cs="Arial"/>
          <w:lang w:val="en-US" w:eastAsia="ja-JP"/>
        </w:rPr>
        <w:t>handover procedures.</w:t>
      </w:r>
    </w:p>
    <w:p w14:paraId="4B78ACF9" w14:textId="54E61A64" w:rsidR="00926355" w:rsidRPr="004058FC" w:rsidRDefault="00926355" w:rsidP="00926355">
      <w:pPr>
        <w:jc w:val="both"/>
        <w:rPr>
          <w:rFonts w:ascii="Arial" w:hAnsi="Arial" w:cs="Arial"/>
          <w:lang w:eastAsia="ja-JP"/>
        </w:rPr>
      </w:pPr>
      <w:r w:rsidRPr="00F36C74">
        <w:rPr>
          <w:rFonts w:ascii="Arial" w:hAnsi="Arial" w:cs="Arial"/>
          <w:lang w:eastAsia="ja-JP"/>
        </w:rPr>
        <w:t xml:space="preserve">The </w:t>
      </w:r>
      <w:r w:rsidR="000D2A4E" w:rsidRPr="00F36C74">
        <w:rPr>
          <w:rFonts w:ascii="Arial" w:hAnsi="Arial" w:cs="Arial"/>
          <w:lang w:eastAsia="ja-JP"/>
        </w:rPr>
        <w:t>main motivation</w:t>
      </w:r>
      <w:r w:rsidR="003111C0" w:rsidRPr="00F36C74">
        <w:rPr>
          <w:rFonts w:ascii="Arial" w:hAnsi="Arial" w:cs="Arial"/>
          <w:lang w:eastAsia="ja-JP"/>
        </w:rPr>
        <w:t xml:space="preserve"> and foreseen benefit,</w:t>
      </w:r>
      <w:r w:rsidR="000D2A4E" w:rsidRPr="00F36C74">
        <w:rPr>
          <w:rFonts w:ascii="Arial" w:hAnsi="Arial" w:cs="Arial"/>
          <w:lang w:eastAsia="ja-JP"/>
        </w:rPr>
        <w:t xml:space="preserve"> in both cases</w:t>
      </w:r>
      <w:r w:rsidR="003111C0" w:rsidRPr="00F36C74">
        <w:rPr>
          <w:rFonts w:ascii="Arial" w:hAnsi="Arial" w:cs="Arial"/>
          <w:lang w:eastAsia="ja-JP"/>
        </w:rPr>
        <w:t>,</w:t>
      </w:r>
      <w:r w:rsidR="000D2A4E" w:rsidRPr="00F36C74">
        <w:rPr>
          <w:rFonts w:ascii="Arial" w:hAnsi="Arial" w:cs="Arial"/>
          <w:lang w:eastAsia="ja-JP"/>
        </w:rPr>
        <w:t xml:space="preserve"> </w:t>
      </w:r>
      <w:r w:rsidR="00AF613B">
        <w:rPr>
          <w:rFonts w:ascii="Arial" w:hAnsi="Arial" w:cs="Arial"/>
          <w:lang w:eastAsia="ja-JP"/>
        </w:rPr>
        <w:t>are</w:t>
      </w:r>
      <w:r w:rsidR="000D2A4E" w:rsidRPr="00F36C74">
        <w:rPr>
          <w:rFonts w:ascii="Arial" w:hAnsi="Arial" w:cs="Arial"/>
          <w:lang w:eastAsia="ja-JP"/>
        </w:rPr>
        <w:t xml:space="preserve"> to</w:t>
      </w:r>
      <w:r w:rsidR="0011094A" w:rsidRPr="00F36C74">
        <w:rPr>
          <w:rFonts w:ascii="Arial" w:hAnsi="Arial" w:cs="Arial"/>
          <w:lang w:eastAsia="ja-JP"/>
        </w:rPr>
        <w:t xml:space="preserve"> reduce </w:t>
      </w:r>
      <w:proofErr w:type="spellStart"/>
      <w:r w:rsidR="0011094A" w:rsidRPr="00F36C74">
        <w:rPr>
          <w:rFonts w:ascii="Arial" w:hAnsi="Arial" w:cs="Arial"/>
          <w:lang w:eastAsia="ja-JP"/>
        </w:rPr>
        <w:t>signalling</w:t>
      </w:r>
      <w:proofErr w:type="spellEnd"/>
      <w:r w:rsidR="0011094A" w:rsidRPr="00F36C74">
        <w:rPr>
          <w:rFonts w:ascii="Arial" w:hAnsi="Arial" w:cs="Arial"/>
          <w:lang w:eastAsia="ja-JP"/>
        </w:rPr>
        <w:t xml:space="preserve"> overhead </w:t>
      </w:r>
      <w:r w:rsidR="00D84C78" w:rsidRPr="00F36C74">
        <w:rPr>
          <w:rFonts w:ascii="Arial" w:hAnsi="Arial" w:cs="Arial"/>
          <w:lang w:eastAsia="ja-JP"/>
        </w:rPr>
        <w:t xml:space="preserve">by </w:t>
      </w:r>
      <w:r w:rsidR="00847EC1" w:rsidRPr="00F36C74">
        <w:rPr>
          <w:rFonts w:ascii="Arial" w:hAnsi="Arial" w:cs="Arial"/>
          <w:lang w:eastAsia="ja-JP"/>
        </w:rPr>
        <w:t>using L1/L2</w:t>
      </w:r>
      <w:r w:rsidR="000D2A4E" w:rsidRPr="00F36C74">
        <w:rPr>
          <w:rFonts w:ascii="Arial" w:hAnsi="Arial" w:cs="Arial"/>
          <w:lang w:eastAsia="ja-JP"/>
        </w:rPr>
        <w:t xml:space="preserve"> </w:t>
      </w:r>
      <w:r w:rsidR="00D84C78" w:rsidRPr="00F36C74">
        <w:rPr>
          <w:rFonts w:ascii="Arial" w:hAnsi="Arial" w:cs="Arial"/>
          <w:lang w:eastAsia="ja-JP"/>
        </w:rPr>
        <w:t>BM</w:t>
      </w:r>
      <w:r w:rsidR="000D2A4E" w:rsidRPr="00F36C74">
        <w:rPr>
          <w:rFonts w:ascii="Arial" w:hAnsi="Arial" w:cs="Arial"/>
          <w:lang w:eastAsia="ja-JP"/>
        </w:rPr>
        <w:t xml:space="preserve"> instead of L3 </w:t>
      </w:r>
      <w:r w:rsidR="00D84C78" w:rsidRPr="00F36C74">
        <w:rPr>
          <w:rFonts w:ascii="Arial" w:hAnsi="Arial" w:cs="Arial"/>
          <w:lang w:eastAsia="ja-JP"/>
        </w:rPr>
        <w:t>handover</w:t>
      </w:r>
      <w:r w:rsidR="000D2A4E" w:rsidRPr="001C50DB">
        <w:rPr>
          <w:rFonts w:ascii="Arial" w:hAnsi="Arial" w:cs="Arial"/>
          <w:lang w:eastAsia="ja-JP"/>
        </w:rPr>
        <w:t xml:space="preserve"> </w:t>
      </w:r>
      <w:proofErr w:type="spellStart"/>
      <w:r w:rsidR="00907778" w:rsidRPr="001C50DB">
        <w:rPr>
          <w:rFonts w:ascii="Arial" w:hAnsi="Arial" w:cs="Arial"/>
          <w:lang w:eastAsia="ja-JP"/>
        </w:rPr>
        <w:t>signalling</w:t>
      </w:r>
      <w:proofErr w:type="spellEnd"/>
      <w:r w:rsidR="00907778" w:rsidRPr="001C50DB">
        <w:rPr>
          <w:rFonts w:ascii="Arial" w:hAnsi="Arial" w:cs="Arial"/>
          <w:lang w:eastAsia="ja-JP"/>
        </w:rPr>
        <w:t xml:space="preserve"> and </w:t>
      </w:r>
      <w:r w:rsidR="000D2A4E" w:rsidRPr="004058FC">
        <w:rPr>
          <w:rFonts w:ascii="Arial" w:hAnsi="Arial" w:cs="Arial"/>
          <w:lang w:eastAsia="ja-JP"/>
        </w:rPr>
        <w:t>procedures</w:t>
      </w:r>
      <w:r w:rsidR="00907778" w:rsidRPr="004058FC">
        <w:rPr>
          <w:rFonts w:ascii="Arial" w:hAnsi="Arial" w:cs="Arial"/>
          <w:lang w:eastAsia="ja-JP"/>
        </w:rPr>
        <w:t>.</w:t>
      </w:r>
    </w:p>
    <w:p w14:paraId="2413A5B2" w14:textId="2F4F5C64" w:rsidR="002F71C0" w:rsidRPr="00DF3509" w:rsidRDefault="00156B5D" w:rsidP="00926355">
      <w:pPr>
        <w:jc w:val="both"/>
        <w:rPr>
          <w:rFonts w:ascii="Arial" w:hAnsi="Arial" w:cs="Arial"/>
          <w:lang w:eastAsia="ja-JP"/>
        </w:rPr>
      </w:pPr>
      <w:r w:rsidRPr="004361AE">
        <w:rPr>
          <w:rFonts w:ascii="Arial" w:hAnsi="Arial" w:cs="Arial"/>
          <w:lang w:eastAsia="ja-JP"/>
        </w:rPr>
        <w:t>T</w:t>
      </w:r>
      <w:r w:rsidR="001C1823" w:rsidRPr="004361AE">
        <w:rPr>
          <w:rFonts w:ascii="Arial" w:hAnsi="Arial" w:cs="Arial"/>
          <w:lang w:eastAsia="ja-JP"/>
        </w:rPr>
        <w:t xml:space="preserve">here are two options for mapping </w:t>
      </w:r>
      <w:r w:rsidR="00C557DE" w:rsidRPr="003D6969">
        <w:rPr>
          <w:rFonts w:ascii="Arial" w:hAnsi="Arial" w:cs="Arial"/>
          <w:lang w:eastAsia="ja-JP"/>
        </w:rPr>
        <w:t>t</w:t>
      </w:r>
      <w:r w:rsidR="001C1823" w:rsidRPr="003D6969">
        <w:rPr>
          <w:rFonts w:ascii="Arial" w:hAnsi="Arial" w:cs="Arial"/>
          <w:lang w:eastAsia="ja-JP"/>
        </w:rPr>
        <w:t xml:space="preserve">he </w:t>
      </w:r>
      <w:r w:rsidR="00E50CFE" w:rsidRPr="00337365">
        <w:rPr>
          <w:rFonts w:ascii="Arial" w:hAnsi="Arial" w:cs="Arial"/>
          <w:lang w:eastAsia="ja-JP"/>
        </w:rPr>
        <w:t>satellite beams and</w:t>
      </w:r>
      <w:r w:rsidR="001C1823" w:rsidRPr="00DF3509">
        <w:rPr>
          <w:rFonts w:ascii="Arial" w:hAnsi="Arial" w:cs="Arial"/>
          <w:lang w:eastAsia="ja-JP"/>
        </w:rPr>
        <w:t xml:space="preserve"> PCI for NTN:</w:t>
      </w:r>
    </w:p>
    <w:p w14:paraId="052A1FEC" w14:textId="2DE46A00" w:rsidR="00E50CFE" w:rsidRPr="00A94C7B" w:rsidRDefault="00AB4AD0" w:rsidP="009618EB">
      <w:pPr>
        <w:pStyle w:val="ListParagraph"/>
        <w:numPr>
          <w:ilvl w:val="0"/>
          <w:numId w:val="19"/>
        </w:numPr>
        <w:jc w:val="both"/>
        <w:rPr>
          <w:rFonts w:ascii="Arial" w:hAnsi="Arial" w:cs="Arial"/>
          <w:lang w:val="en-US" w:eastAsia="ja-JP"/>
        </w:rPr>
      </w:pPr>
      <w:r w:rsidRPr="00DF3509">
        <w:rPr>
          <w:rFonts w:ascii="Arial" w:hAnsi="Arial" w:cs="Arial"/>
          <w:lang w:val="en-US" w:eastAsia="ja-JP"/>
        </w:rPr>
        <w:t xml:space="preserve">Option a: </w:t>
      </w:r>
      <w:r w:rsidR="00756EA4" w:rsidRPr="00A94C7B">
        <w:rPr>
          <w:rFonts w:ascii="Arial" w:hAnsi="Arial" w:cs="Arial"/>
          <w:lang w:val="en-US" w:eastAsia="ja-JP"/>
        </w:rPr>
        <w:t>Multiple beams per PCI</w:t>
      </w:r>
    </w:p>
    <w:p w14:paraId="2371255E" w14:textId="2C081DC7" w:rsidR="00756EA4" w:rsidRPr="00A94C7B" w:rsidRDefault="00756EA4" w:rsidP="009618EB">
      <w:pPr>
        <w:pStyle w:val="ListParagraph"/>
        <w:numPr>
          <w:ilvl w:val="0"/>
          <w:numId w:val="19"/>
        </w:numPr>
        <w:jc w:val="both"/>
        <w:rPr>
          <w:rFonts w:ascii="Arial" w:hAnsi="Arial" w:cs="Arial"/>
          <w:lang w:val="en-US" w:eastAsia="ja-JP"/>
        </w:rPr>
      </w:pPr>
      <w:r w:rsidRPr="00A94C7B">
        <w:rPr>
          <w:rFonts w:ascii="Arial" w:hAnsi="Arial" w:cs="Arial"/>
          <w:lang w:val="en-US" w:eastAsia="ja-JP"/>
        </w:rPr>
        <w:t xml:space="preserve">Option b: </w:t>
      </w:r>
      <w:r w:rsidR="00CA0BB5" w:rsidRPr="00A94C7B">
        <w:rPr>
          <w:rFonts w:ascii="Arial" w:hAnsi="Arial" w:cs="Arial"/>
          <w:lang w:val="en-US" w:eastAsia="ja-JP"/>
        </w:rPr>
        <w:t>O</w:t>
      </w:r>
      <w:r w:rsidRPr="00A94C7B">
        <w:rPr>
          <w:rFonts w:ascii="Arial" w:hAnsi="Arial" w:cs="Arial"/>
          <w:lang w:val="en-US" w:eastAsia="ja-JP"/>
        </w:rPr>
        <w:t>ne beam per PCI</w:t>
      </w:r>
    </w:p>
    <w:p w14:paraId="3964C978" w14:textId="12BA9EBC" w:rsidR="00756EA4" w:rsidRPr="00F36C74" w:rsidRDefault="00F36C74" w:rsidP="00756EA4">
      <w:pPr>
        <w:jc w:val="both"/>
        <w:rPr>
          <w:rFonts w:ascii="Arial" w:hAnsi="Arial" w:cs="Arial"/>
          <w:lang w:eastAsia="ja-JP"/>
        </w:rPr>
      </w:pPr>
      <w:r>
        <w:rPr>
          <w:rFonts w:ascii="Arial" w:hAnsi="Arial" w:cs="Arial"/>
          <w:lang w:eastAsia="ja-JP"/>
        </w:rPr>
        <w:t>A</w:t>
      </w:r>
      <w:r w:rsidR="00756EA4" w:rsidRPr="00F36C74">
        <w:rPr>
          <w:rFonts w:ascii="Arial" w:hAnsi="Arial" w:cs="Arial"/>
          <w:lang w:eastAsia="ja-JP"/>
        </w:rPr>
        <w:t xml:space="preserve">ccording to </w:t>
      </w:r>
      <w:r w:rsidR="00AE365F" w:rsidRPr="00F36C74">
        <w:rPr>
          <w:rFonts w:ascii="Arial" w:hAnsi="Arial" w:cs="Arial"/>
          <w:lang w:eastAsia="ja-JP"/>
        </w:rPr>
        <w:t>the</w:t>
      </w:r>
      <w:r w:rsidR="00756EA4" w:rsidRPr="00F36C74">
        <w:rPr>
          <w:rFonts w:ascii="Arial" w:hAnsi="Arial" w:cs="Arial"/>
          <w:lang w:eastAsia="ja-JP"/>
        </w:rPr>
        <w:t xml:space="preserve"> current specification</w:t>
      </w:r>
      <w:r w:rsidR="00AC69E1" w:rsidRPr="00F36C74">
        <w:rPr>
          <w:rFonts w:ascii="Arial" w:hAnsi="Arial" w:cs="Arial"/>
          <w:lang w:eastAsia="ja-JP"/>
        </w:rPr>
        <w:t>s,</w:t>
      </w:r>
      <w:r w:rsidR="00756EA4" w:rsidRPr="00F36C74">
        <w:rPr>
          <w:rFonts w:ascii="Arial" w:hAnsi="Arial" w:cs="Arial"/>
          <w:lang w:eastAsia="ja-JP"/>
        </w:rPr>
        <w:t xml:space="preserve"> either of these options can be realized by implementation choice and no further specification effort is required</w:t>
      </w:r>
      <w:r w:rsidR="00BB51B5" w:rsidRPr="00F36C74">
        <w:rPr>
          <w:rFonts w:ascii="Arial" w:hAnsi="Arial" w:cs="Arial"/>
          <w:lang w:eastAsia="ja-JP"/>
        </w:rPr>
        <w:t>.</w:t>
      </w:r>
    </w:p>
    <w:p w14:paraId="1D369F10" w14:textId="51DDE750" w:rsidR="00756EA4" w:rsidRPr="00337365" w:rsidRDefault="005B4798" w:rsidP="00756EA4">
      <w:pPr>
        <w:pStyle w:val="Observation"/>
        <w:rPr>
          <w:rFonts w:cs="Arial"/>
        </w:rPr>
      </w:pPr>
      <w:bookmarkStart w:id="0" w:name="_Toc83986716"/>
      <w:r w:rsidRPr="00F36C74">
        <w:rPr>
          <w:rFonts w:cs="Arial"/>
        </w:rPr>
        <w:t>Both multiple</w:t>
      </w:r>
      <w:r w:rsidR="00740775" w:rsidRPr="00F36C74">
        <w:rPr>
          <w:rFonts w:cs="Arial"/>
        </w:rPr>
        <w:t>-beam</w:t>
      </w:r>
      <w:r w:rsidRPr="001C50DB">
        <w:rPr>
          <w:rFonts w:cs="Arial"/>
        </w:rPr>
        <w:t xml:space="preserve"> and one</w:t>
      </w:r>
      <w:r w:rsidR="00740775" w:rsidRPr="001C50DB">
        <w:rPr>
          <w:rFonts w:cs="Arial"/>
        </w:rPr>
        <w:t>-</w:t>
      </w:r>
      <w:r w:rsidRPr="004058FC">
        <w:rPr>
          <w:rFonts w:cs="Arial"/>
        </w:rPr>
        <w:t xml:space="preserve">beam per PCI </w:t>
      </w:r>
      <w:r w:rsidR="00C17968" w:rsidRPr="004058FC">
        <w:rPr>
          <w:rFonts w:cs="Arial"/>
        </w:rPr>
        <w:t>mapping scheme</w:t>
      </w:r>
      <w:r w:rsidR="00CA0BB5" w:rsidRPr="004058FC">
        <w:rPr>
          <w:rFonts w:cs="Arial"/>
        </w:rPr>
        <w:t>s</w:t>
      </w:r>
      <w:r w:rsidR="00C17968" w:rsidRPr="004058FC">
        <w:rPr>
          <w:rFonts w:cs="Arial"/>
        </w:rPr>
        <w:t xml:space="preserve"> can be realized for NTN with current</w:t>
      </w:r>
      <w:r w:rsidR="00C17968" w:rsidRPr="004361AE">
        <w:rPr>
          <w:rFonts w:cs="Arial"/>
        </w:rPr>
        <w:t xml:space="preserve"> NR specification</w:t>
      </w:r>
      <w:r w:rsidR="009462DD" w:rsidRPr="003D6969">
        <w:rPr>
          <w:rFonts w:cs="Arial"/>
        </w:rPr>
        <w:t>s</w:t>
      </w:r>
      <w:r w:rsidR="00C17968" w:rsidRPr="003D6969">
        <w:rPr>
          <w:rFonts w:cs="Arial"/>
        </w:rPr>
        <w:t xml:space="preserve"> without any enhancement.</w:t>
      </w:r>
      <w:bookmarkEnd w:id="0"/>
    </w:p>
    <w:p w14:paraId="0DAAB2C6" w14:textId="14F3AE3A" w:rsidR="007E2066" w:rsidRDefault="007E2066" w:rsidP="00627E72">
      <w:pPr>
        <w:jc w:val="both"/>
        <w:rPr>
          <w:rFonts w:asciiTheme="minorBidi" w:hAnsiTheme="minorBidi"/>
        </w:rPr>
      </w:pPr>
      <w:bookmarkStart w:id="1" w:name="_Hlk78381087"/>
      <w:r w:rsidRPr="00627E72">
        <w:rPr>
          <w:rFonts w:asciiTheme="minorBidi" w:hAnsiTheme="minorBidi"/>
        </w:rPr>
        <w:t xml:space="preserve">Among the issues identified at RAN1#104-e, after extensive discussions in last few meetings, two topics were considered as potential candidates for further discussion. These two issues are regarding the </w:t>
      </w:r>
      <w:r w:rsidR="00C5146B">
        <w:rPr>
          <w:rFonts w:asciiTheme="minorBidi" w:hAnsiTheme="minorBidi"/>
        </w:rPr>
        <w:t xml:space="preserve">prediction-based gNB </w:t>
      </w:r>
      <w:r w:rsidR="00DB4105">
        <w:rPr>
          <w:rFonts w:asciiTheme="minorBidi" w:hAnsiTheme="minorBidi"/>
        </w:rPr>
        <w:t>dominant</w:t>
      </w:r>
      <w:r w:rsidR="00C5146B">
        <w:rPr>
          <w:rFonts w:asciiTheme="minorBidi" w:hAnsiTheme="minorBidi"/>
        </w:rPr>
        <w:t xml:space="preserve"> </w:t>
      </w:r>
      <w:r w:rsidR="00B31C4B">
        <w:rPr>
          <w:rFonts w:asciiTheme="minorBidi" w:hAnsiTheme="minorBidi"/>
        </w:rPr>
        <w:t>BWP/beam switching</w:t>
      </w:r>
      <w:r w:rsidRPr="002F4551">
        <w:rPr>
          <w:rFonts w:asciiTheme="minorBidi" w:hAnsiTheme="minorBidi"/>
        </w:rPr>
        <w:t xml:space="preserve"> for single or group of UEs, as well as </w:t>
      </w:r>
      <w:r w:rsidR="00DB4105">
        <w:rPr>
          <w:rFonts w:asciiTheme="minorBidi" w:hAnsiTheme="minorBidi"/>
        </w:rPr>
        <w:t>i</w:t>
      </w:r>
      <w:r w:rsidR="00010213" w:rsidRPr="00010213">
        <w:rPr>
          <w:rFonts w:asciiTheme="minorBidi" w:hAnsiTheme="minorBidi"/>
        </w:rPr>
        <w:t>ntra</w:t>
      </w:r>
      <w:r w:rsidR="00A82A66">
        <w:rPr>
          <w:rFonts w:asciiTheme="minorBidi" w:hAnsiTheme="minorBidi"/>
        </w:rPr>
        <w:t>-</w:t>
      </w:r>
      <w:r w:rsidR="00010213" w:rsidRPr="00010213">
        <w:rPr>
          <w:rFonts w:asciiTheme="minorBidi" w:hAnsiTheme="minorBidi"/>
        </w:rPr>
        <w:t xml:space="preserve"> and inter</w:t>
      </w:r>
      <w:r w:rsidR="00A82A66">
        <w:rPr>
          <w:rFonts w:asciiTheme="minorBidi" w:hAnsiTheme="minorBidi"/>
        </w:rPr>
        <w:t>-</w:t>
      </w:r>
      <w:r w:rsidR="00010213" w:rsidRPr="00010213">
        <w:rPr>
          <w:rFonts w:asciiTheme="minorBidi" w:hAnsiTheme="minorBidi"/>
        </w:rPr>
        <w:t xml:space="preserve">BWP </w:t>
      </w:r>
      <w:r w:rsidR="00DB4105">
        <w:rPr>
          <w:rFonts w:asciiTheme="minorBidi" w:hAnsiTheme="minorBidi"/>
        </w:rPr>
        <w:t>b</w:t>
      </w:r>
      <w:r w:rsidR="00010213" w:rsidRPr="00010213">
        <w:rPr>
          <w:rFonts w:asciiTheme="minorBidi" w:hAnsiTheme="minorBidi"/>
        </w:rPr>
        <w:t>eam measurement</w:t>
      </w:r>
      <w:r w:rsidR="00A82A66">
        <w:rPr>
          <w:rFonts w:asciiTheme="minorBidi" w:hAnsiTheme="minorBidi"/>
        </w:rPr>
        <w:t>s</w:t>
      </w:r>
      <w:r w:rsidR="00010213" w:rsidRPr="00010213">
        <w:rPr>
          <w:rFonts w:asciiTheme="minorBidi" w:hAnsiTheme="minorBidi"/>
        </w:rPr>
        <w:t xml:space="preserve"> </w:t>
      </w:r>
      <w:r w:rsidR="00010213">
        <w:rPr>
          <w:rFonts w:asciiTheme="minorBidi" w:hAnsiTheme="minorBidi"/>
        </w:rPr>
        <w:t>. We discuss these issue</w:t>
      </w:r>
      <w:r w:rsidR="00DB4105">
        <w:rPr>
          <w:rFonts w:asciiTheme="minorBidi" w:hAnsiTheme="minorBidi"/>
        </w:rPr>
        <w:t>s</w:t>
      </w:r>
      <w:r w:rsidR="00010213">
        <w:rPr>
          <w:rFonts w:asciiTheme="minorBidi" w:hAnsiTheme="minorBidi"/>
        </w:rPr>
        <w:t xml:space="preserve"> in the rest of this section</w:t>
      </w:r>
      <w:r w:rsidR="00DB4105">
        <w:rPr>
          <w:rFonts w:asciiTheme="minorBidi" w:hAnsiTheme="minorBidi"/>
        </w:rPr>
        <w:t>.</w:t>
      </w:r>
    </w:p>
    <w:p w14:paraId="50634074" w14:textId="0514BB79" w:rsidR="00010213" w:rsidRPr="00627E72" w:rsidRDefault="00DB4105" w:rsidP="002F4551">
      <w:pPr>
        <w:jc w:val="both"/>
        <w:rPr>
          <w:rFonts w:asciiTheme="minorBidi" w:hAnsiTheme="minorBidi"/>
        </w:rPr>
      </w:pPr>
      <w:r>
        <w:rPr>
          <w:rFonts w:asciiTheme="minorBidi" w:hAnsiTheme="minorBidi"/>
        </w:rPr>
        <w:t>At RAN1#106-e, the Moderator considered s</w:t>
      </w:r>
      <w:r w:rsidR="00CA3DF6">
        <w:rPr>
          <w:rFonts w:asciiTheme="minorBidi" w:hAnsiTheme="minorBidi"/>
        </w:rPr>
        <w:t>ome topics</w:t>
      </w:r>
      <w:r>
        <w:rPr>
          <w:rFonts w:asciiTheme="minorBidi" w:hAnsiTheme="minorBidi"/>
        </w:rPr>
        <w:t xml:space="preserve"> </w:t>
      </w:r>
      <w:r w:rsidR="00CA3DF6">
        <w:rPr>
          <w:rFonts w:asciiTheme="minorBidi" w:hAnsiTheme="minorBidi"/>
        </w:rPr>
        <w:t xml:space="preserve">to be </w:t>
      </w:r>
      <w:r w:rsidR="00847C11">
        <w:rPr>
          <w:rFonts w:asciiTheme="minorBidi" w:hAnsiTheme="minorBidi"/>
        </w:rPr>
        <w:t>less motivated</w:t>
      </w:r>
      <w:r w:rsidR="00C352FD">
        <w:rPr>
          <w:rFonts w:asciiTheme="minorBidi" w:hAnsiTheme="minorBidi"/>
        </w:rPr>
        <w:t xml:space="preserve">, </w:t>
      </w:r>
      <w:r w:rsidR="00010213">
        <w:rPr>
          <w:rFonts w:asciiTheme="minorBidi" w:hAnsiTheme="minorBidi"/>
        </w:rPr>
        <w:t>including service link switching, association between BWP and beam indices</w:t>
      </w:r>
      <w:r>
        <w:rPr>
          <w:rFonts w:asciiTheme="minorBidi" w:hAnsiTheme="minorBidi"/>
        </w:rPr>
        <w:t>,</w:t>
      </w:r>
      <w:r w:rsidR="00010213">
        <w:rPr>
          <w:rFonts w:asciiTheme="minorBidi" w:hAnsiTheme="minorBidi"/>
        </w:rPr>
        <w:t xml:space="preserve"> and autonomous UE </w:t>
      </w:r>
      <w:r w:rsidR="009020A5">
        <w:rPr>
          <w:rFonts w:asciiTheme="minorBidi" w:hAnsiTheme="minorBidi"/>
        </w:rPr>
        <w:t xml:space="preserve">based beam switching, which were down prioritized in the last meeting. </w:t>
      </w:r>
      <w:r w:rsidR="00C352FD">
        <w:rPr>
          <w:rFonts w:asciiTheme="minorBidi" w:hAnsiTheme="minorBidi"/>
        </w:rPr>
        <w:t>So</w:t>
      </w:r>
      <w:r>
        <w:rPr>
          <w:rFonts w:asciiTheme="minorBidi" w:hAnsiTheme="minorBidi"/>
        </w:rPr>
        <w:t>,</w:t>
      </w:r>
      <w:r w:rsidR="00C352FD">
        <w:rPr>
          <w:rFonts w:asciiTheme="minorBidi" w:hAnsiTheme="minorBidi"/>
        </w:rPr>
        <w:t xml:space="preserve"> we </w:t>
      </w:r>
      <w:r>
        <w:rPr>
          <w:rFonts w:asciiTheme="minorBidi" w:hAnsiTheme="minorBidi"/>
        </w:rPr>
        <w:t>do</w:t>
      </w:r>
      <w:r w:rsidR="00C352FD">
        <w:rPr>
          <w:rFonts w:asciiTheme="minorBidi" w:hAnsiTheme="minorBidi"/>
        </w:rPr>
        <w:t xml:space="preserve"> not </w:t>
      </w:r>
      <w:r>
        <w:rPr>
          <w:rFonts w:asciiTheme="minorBidi" w:hAnsiTheme="minorBidi"/>
        </w:rPr>
        <w:t>elaborate</w:t>
      </w:r>
      <w:r w:rsidR="00C352FD">
        <w:rPr>
          <w:rFonts w:asciiTheme="minorBidi" w:hAnsiTheme="minorBidi"/>
        </w:rPr>
        <w:t xml:space="preserve"> </w:t>
      </w:r>
      <w:r w:rsidR="001D260F">
        <w:rPr>
          <w:rFonts w:asciiTheme="minorBidi" w:hAnsiTheme="minorBidi"/>
        </w:rPr>
        <w:t>on these issues in this section</w:t>
      </w:r>
      <w:r w:rsidR="009D3097">
        <w:rPr>
          <w:rFonts w:asciiTheme="minorBidi" w:hAnsiTheme="minorBidi"/>
        </w:rPr>
        <w:t xml:space="preserve"> and</w:t>
      </w:r>
      <w:r w:rsidR="001D260F">
        <w:rPr>
          <w:rFonts w:asciiTheme="minorBidi" w:hAnsiTheme="minorBidi"/>
        </w:rPr>
        <w:t xml:space="preserve"> refer interested reader</w:t>
      </w:r>
      <w:r>
        <w:rPr>
          <w:rFonts w:asciiTheme="minorBidi" w:hAnsiTheme="minorBidi"/>
        </w:rPr>
        <w:t>s</w:t>
      </w:r>
      <w:r w:rsidR="003F56C4">
        <w:rPr>
          <w:rFonts w:asciiTheme="minorBidi" w:hAnsiTheme="minorBidi"/>
        </w:rPr>
        <w:t xml:space="preserve"> </w:t>
      </w:r>
      <w:r w:rsidR="008371E3">
        <w:rPr>
          <w:rFonts w:asciiTheme="minorBidi" w:hAnsiTheme="minorBidi"/>
        </w:rPr>
        <w:t>to appendix</w:t>
      </w:r>
      <w:r w:rsidR="009D3097">
        <w:rPr>
          <w:rFonts w:asciiTheme="minorBidi" w:hAnsiTheme="minorBidi"/>
        </w:rPr>
        <w:t xml:space="preserve"> A</w:t>
      </w:r>
      <w:r>
        <w:rPr>
          <w:rFonts w:asciiTheme="minorBidi" w:hAnsiTheme="minorBidi"/>
        </w:rPr>
        <w:t xml:space="preserve"> about our inputs</w:t>
      </w:r>
      <w:r w:rsidR="008371E3">
        <w:rPr>
          <w:rFonts w:asciiTheme="minorBidi" w:hAnsiTheme="minorBidi"/>
        </w:rPr>
        <w:t>.</w:t>
      </w:r>
    </w:p>
    <w:p w14:paraId="5130AB25" w14:textId="0D9B0089" w:rsidR="000F4639" w:rsidRPr="009618EB" w:rsidRDefault="007442C5" w:rsidP="009618EB">
      <w:pPr>
        <w:pStyle w:val="Heading2"/>
        <w:rPr>
          <w:lang w:val="en-US"/>
        </w:rPr>
      </w:pPr>
      <w:r w:rsidRPr="00DF3509">
        <w:rPr>
          <w:lang w:val="en-US"/>
        </w:rPr>
        <w:t>2.</w:t>
      </w:r>
      <w:r w:rsidR="002C0BCB">
        <w:rPr>
          <w:lang w:val="en-US"/>
        </w:rPr>
        <w:t>2</w:t>
      </w:r>
      <w:r w:rsidR="00495AAC" w:rsidRPr="00A94C7B">
        <w:rPr>
          <w:lang w:val="en-US"/>
        </w:rPr>
        <w:tab/>
      </w:r>
      <w:bookmarkEnd w:id="1"/>
      <w:r w:rsidR="0007680D">
        <w:rPr>
          <w:lang w:val="en-US"/>
        </w:rPr>
        <w:t>Prediction</w:t>
      </w:r>
      <w:r w:rsidR="009618EB">
        <w:rPr>
          <w:lang w:val="en-US"/>
        </w:rPr>
        <w:t>-</w:t>
      </w:r>
      <w:r w:rsidR="0007680D">
        <w:rPr>
          <w:lang w:val="en-US"/>
        </w:rPr>
        <w:t xml:space="preserve">based </w:t>
      </w:r>
      <w:r w:rsidR="00DB4105">
        <w:rPr>
          <w:lang w:val="en-US"/>
        </w:rPr>
        <w:t>gNB dominant</w:t>
      </w:r>
      <w:r w:rsidR="0007680D">
        <w:rPr>
          <w:lang w:val="en-US"/>
        </w:rPr>
        <w:t xml:space="preserve"> BWP/beam switching</w:t>
      </w:r>
    </w:p>
    <w:p w14:paraId="5CEA8EF1" w14:textId="2AF03B80" w:rsidR="00931F78" w:rsidRPr="00A94C7B" w:rsidRDefault="00C81BCD" w:rsidP="00D41415">
      <w:pPr>
        <w:jc w:val="both"/>
        <w:rPr>
          <w:rFonts w:ascii="Arial" w:hAnsi="Arial" w:cs="Arial"/>
        </w:rPr>
      </w:pPr>
      <w:r w:rsidRPr="00A94C7B">
        <w:rPr>
          <w:rFonts w:ascii="Arial" w:hAnsi="Arial" w:cs="Arial"/>
        </w:rPr>
        <w:t xml:space="preserve">Although </w:t>
      </w:r>
      <w:r w:rsidR="006A033A" w:rsidRPr="00A94C7B">
        <w:rPr>
          <w:rFonts w:ascii="Arial" w:hAnsi="Arial" w:cs="Arial"/>
        </w:rPr>
        <w:t>there are</w:t>
      </w:r>
      <w:r w:rsidR="002E448C" w:rsidRPr="00A94C7B">
        <w:rPr>
          <w:rFonts w:ascii="Arial" w:hAnsi="Arial" w:cs="Arial"/>
        </w:rPr>
        <w:t xml:space="preserve"> some</w:t>
      </w:r>
      <w:r w:rsidR="006A033A" w:rsidRPr="00A94C7B">
        <w:rPr>
          <w:rFonts w:ascii="Arial" w:hAnsi="Arial" w:cs="Arial"/>
        </w:rPr>
        <w:t xml:space="preserve"> merits in introducing </w:t>
      </w:r>
      <w:r w:rsidR="00D12223" w:rsidRPr="00A94C7B">
        <w:rPr>
          <w:rFonts w:ascii="Arial" w:hAnsi="Arial" w:cs="Arial"/>
        </w:rPr>
        <w:t>prediction-based</w:t>
      </w:r>
      <w:r w:rsidR="00B45621" w:rsidRPr="00A94C7B">
        <w:rPr>
          <w:rFonts w:ascii="Arial" w:hAnsi="Arial" w:cs="Arial"/>
        </w:rPr>
        <w:t xml:space="preserve"> BWP/</w:t>
      </w:r>
      <w:r w:rsidR="006A033A" w:rsidRPr="00A94C7B">
        <w:rPr>
          <w:rFonts w:ascii="Arial" w:hAnsi="Arial" w:cs="Arial"/>
        </w:rPr>
        <w:t>beam switching</w:t>
      </w:r>
      <w:r w:rsidR="002C0BCB">
        <w:rPr>
          <w:rFonts w:ascii="Arial" w:hAnsi="Arial" w:cs="Arial"/>
        </w:rPr>
        <w:t>,</w:t>
      </w:r>
      <w:r w:rsidR="006A033A" w:rsidRPr="00A94C7B">
        <w:rPr>
          <w:rFonts w:ascii="Arial" w:hAnsi="Arial" w:cs="Arial"/>
        </w:rPr>
        <w:t xml:space="preserve"> </w:t>
      </w:r>
      <w:r w:rsidR="00F97534" w:rsidRPr="00A94C7B">
        <w:rPr>
          <w:rFonts w:ascii="Arial" w:hAnsi="Arial" w:cs="Arial"/>
        </w:rPr>
        <w:t>in general, we believe t</w:t>
      </w:r>
      <w:r w:rsidR="003637F4" w:rsidRPr="00A94C7B">
        <w:rPr>
          <w:rFonts w:ascii="Arial" w:hAnsi="Arial" w:cs="Arial"/>
        </w:rPr>
        <w:t xml:space="preserve">hat developing the concept </w:t>
      </w:r>
      <w:r w:rsidR="00F97534" w:rsidRPr="00A94C7B">
        <w:rPr>
          <w:rFonts w:ascii="Arial" w:hAnsi="Arial" w:cs="Arial"/>
        </w:rPr>
        <w:t>is not very well motivated for the Rel-17 NTN WI due to the reasons we further elaborate in the following</w:t>
      </w:r>
      <w:r w:rsidR="00337365">
        <w:rPr>
          <w:rFonts w:ascii="Arial" w:hAnsi="Arial" w:cs="Arial"/>
        </w:rPr>
        <w:t>.</w:t>
      </w:r>
      <w:r w:rsidR="00F97534" w:rsidRPr="00A94C7B">
        <w:rPr>
          <w:rFonts w:ascii="Arial" w:hAnsi="Arial" w:cs="Arial"/>
        </w:rPr>
        <w:t xml:space="preserve"> </w:t>
      </w:r>
    </w:p>
    <w:p w14:paraId="2AB2EA25" w14:textId="02DD42E7" w:rsidR="00F97534" w:rsidRDefault="00F97534" w:rsidP="00D41415">
      <w:pPr>
        <w:jc w:val="both"/>
        <w:rPr>
          <w:rFonts w:ascii="Arial" w:hAnsi="Arial" w:cs="Arial"/>
        </w:rPr>
      </w:pPr>
      <w:r w:rsidRPr="00A94C7B">
        <w:rPr>
          <w:rFonts w:ascii="Arial" w:hAnsi="Arial" w:cs="Arial"/>
        </w:rPr>
        <w:t xml:space="preserve">First of </w:t>
      </w:r>
      <w:r w:rsidR="00D12223" w:rsidRPr="00A94C7B">
        <w:rPr>
          <w:rFonts w:ascii="Arial" w:hAnsi="Arial" w:cs="Arial"/>
        </w:rPr>
        <w:t>all,</w:t>
      </w:r>
      <w:r w:rsidRPr="00A94C7B">
        <w:rPr>
          <w:rFonts w:ascii="Arial" w:hAnsi="Arial" w:cs="Arial"/>
        </w:rPr>
        <w:t xml:space="preserve"> </w:t>
      </w:r>
      <w:r w:rsidR="00D75085" w:rsidRPr="00A94C7B">
        <w:rPr>
          <w:rFonts w:ascii="Arial" w:hAnsi="Arial" w:cs="Arial"/>
        </w:rPr>
        <w:t>m</w:t>
      </w:r>
      <w:r w:rsidR="00B21D58" w:rsidRPr="00A94C7B">
        <w:rPr>
          <w:rFonts w:ascii="Arial" w:hAnsi="Arial" w:cs="Arial"/>
        </w:rPr>
        <w:t xml:space="preserve">easurement </w:t>
      </w:r>
      <w:r w:rsidR="00D75085" w:rsidRPr="00A94C7B">
        <w:rPr>
          <w:rFonts w:ascii="Arial" w:hAnsi="Arial" w:cs="Arial"/>
        </w:rPr>
        <w:t>procedures are</w:t>
      </w:r>
      <w:r w:rsidR="00337365">
        <w:rPr>
          <w:rFonts w:ascii="Arial" w:hAnsi="Arial" w:cs="Arial"/>
        </w:rPr>
        <w:t xml:space="preserve"> already</w:t>
      </w:r>
      <w:r w:rsidR="00D75085" w:rsidRPr="00A94C7B">
        <w:rPr>
          <w:rFonts w:ascii="Arial" w:hAnsi="Arial" w:cs="Arial"/>
        </w:rPr>
        <w:t xml:space="preserve"> </w:t>
      </w:r>
      <w:r w:rsidR="00D12223" w:rsidRPr="00A94C7B">
        <w:rPr>
          <w:rFonts w:ascii="Arial" w:hAnsi="Arial" w:cs="Arial"/>
        </w:rPr>
        <w:t>defined</w:t>
      </w:r>
      <w:r w:rsidR="00D75085" w:rsidRPr="00A94C7B">
        <w:rPr>
          <w:rFonts w:ascii="Arial" w:hAnsi="Arial" w:cs="Arial"/>
        </w:rPr>
        <w:t xml:space="preserve"> </w:t>
      </w:r>
      <w:r w:rsidR="004964B5" w:rsidRPr="00A94C7B">
        <w:rPr>
          <w:rFonts w:ascii="Arial" w:hAnsi="Arial" w:cs="Arial"/>
        </w:rPr>
        <w:t xml:space="preserve">to </w:t>
      </w:r>
      <w:r w:rsidR="00060C63">
        <w:rPr>
          <w:rFonts w:ascii="Arial" w:hAnsi="Arial" w:cs="Arial"/>
        </w:rPr>
        <w:t>support</w:t>
      </w:r>
      <w:r w:rsidR="004964B5" w:rsidRPr="00A94C7B">
        <w:rPr>
          <w:rFonts w:ascii="Arial" w:hAnsi="Arial" w:cs="Arial"/>
        </w:rPr>
        <w:t xml:space="preserve"> gNB</w:t>
      </w:r>
      <w:r w:rsidR="00C60673">
        <w:rPr>
          <w:rFonts w:ascii="Arial" w:hAnsi="Arial" w:cs="Arial"/>
        </w:rPr>
        <w:t xml:space="preserve"> centric</w:t>
      </w:r>
      <w:r w:rsidR="004964B5" w:rsidRPr="00A94C7B">
        <w:rPr>
          <w:rFonts w:ascii="Arial" w:hAnsi="Arial" w:cs="Arial"/>
        </w:rPr>
        <w:t xml:space="preserve"> </w:t>
      </w:r>
      <w:r w:rsidR="006A1672" w:rsidRPr="00A94C7B">
        <w:rPr>
          <w:rFonts w:ascii="Arial" w:hAnsi="Arial" w:cs="Arial"/>
        </w:rPr>
        <w:t xml:space="preserve">beam </w:t>
      </w:r>
      <w:r w:rsidR="00D12223" w:rsidRPr="00A94C7B">
        <w:rPr>
          <w:rFonts w:ascii="Arial" w:hAnsi="Arial" w:cs="Arial"/>
        </w:rPr>
        <w:t>management</w:t>
      </w:r>
      <w:r w:rsidR="006A1672" w:rsidRPr="00A94C7B">
        <w:rPr>
          <w:rFonts w:ascii="Arial" w:hAnsi="Arial" w:cs="Arial"/>
        </w:rPr>
        <w:t xml:space="preserve"> and </w:t>
      </w:r>
      <w:r w:rsidR="00A75CAB" w:rsidRPr="00A94C7B">
        <w:rPr>
          <w:rFonts w:ascii="Arial" w:hAnsi="Arial" w:cs="Arial"/>
        </w:rPr>
        <w:t>mobility</w:t>
      </w:r>
      <w:r w:rsidR="00060C63">
        <w:rPr>
          <w:rFonts w:ascii="Arial" w:hAnsi="Arial" w:cs="Arial"/>
        </w:rPr>
        <w:t xml:space="preserve"> decision</w:t>
      </w:r>
      <w:r w:rsidR="00261C01">
        <w:rPr>
          <w:rFonts w:ascii="Arial" w:hAnsi="Arial" w:cs="Arial"/>
        </w:rPr>
        <w:t>.</w:t>
      </w:r>
      <w:r w:rsidR="006A1672" w:rsidRPr="00A94C7B">
        <w:rPr>
          <w:rFonts w:ascii="Arial" w:hAnsi="Arial" w:cs="Arial"/>
        </w:rPr>
        <w:t xml:space="preserve"> </w:t>
      </w:r>
      <w:r w:rsidR="00261C01">
        <w:rPr>
          <w:rFonts w:ascii="Arial" w:hAnsi="Arial" w:cs="Arial"/>
        </w:rPr>
        <w:t>A</w:t>
      </w:r>
      <w:r w:rsidR="00337365">
        <w:rPr>
          <w:rFonts w:ascii="Arial" w:hAnsi="Arial" w:cs="Arial"/>
        </w:rPr>
        <w:t xml:space="preserve">nd </w:t>
      </w:r>
      <w:r w:rsidR="00D60752">
        <w:rPr>
          <w:rFonts w:ascii="Arial" w:hAnsi="Arial" w:cs="Arial"/>
        </w:rPr>
        <w:t>gNB can already use implementation</w:t>
      </w:r>
      <w:r w:rsidR="002B2A16">
        <w:rPr>
          <w:rFonts w:ascii="Arial" w:hAnsi="Arial" w:cs="Arial"/>
        </w:rPr>
        <w:t>-</w:t>
      </w:r>
      <w:r w:rsidR="00D60752">
        <w:rPr>
          <w:rFonts w:ascii="Arial" w:hAnsi="Arial" w:cs="Arial"/>
        </w:rPr>
        <w:t xml:space="preserve">based prediction to </w:t>
      </w:r>
      <w:r w:rsidR="00C60673">
        <w:rPr>
          <w:rFonts w:ascii="Arial" w:hAnsi="Arial" w:cs="Arial"/>
        </w:rPr>
        <w:t>facilitate</w:t>
      </w:r>
      <w:r w:rsidR="00D60752">
        <w:rPr>
          <w:rFonts w:ascii="Arial" w:hAnsi="Arial" w:cs="Arial"/>
        </w:rPr>
        <w:t xml:space="preserve"> beam </w:t>
      </w:r>
      <w:r w:rsidR="002B2A16">
        <w:rPr>
          <w:rFonts w:ascii="Arial" w:hAnsi="Arial" w:cs="Arial"/>
        </w:rPr>
        <w:t>management</w:t>
      </w:r>
      <w:r w:rsidR="00D60752">
        <w:rPr>
          <w:rFonts w:ascii="Arial" w:hAnsi="Arial" w:cs="Arial"/>
        </w:rPr>
        <w:t xml:space="preserve"> </w:t>
      </w:r>
      <w:r w:rsidR="00337365">
        <w:rPr>
          <w:rFonts w:ascii="Arial" w:hAnsi="Arial" w:cs="Arial"/>
        </w:rPr>
        <w:t>decision. Thus,</w:t>
      </w:r>
      <w:r w:rsidR="00D60752">
        <w:rPr>
          <w:rFonts w:ascii="Arial" w:hAnsi="Arial" w:cs="Arial"/>
        </w:rPr>
        <w:t xml:space="preserve"> </w:t>
      </w:r>
      <w:r w:rsidR="007D225B" w:rsidRPr="00A94C7B">
        <w:rPr>
          <w:rFonts w:ascii="Arial" w:hAnsi="Arial" w:cs="Arial"/>
        </w:rPr>
        <w:t xml:space="preserve">there is no need to </w:t>
      </w:r>
      <w:r w:rsidR="006D518B" w:rsidRPr="00A94C7B">
        <w:rPr>
          <w:rFonts w:ascii="Arial" w:hAnsi="Arial" w:cs="Arial"/>
        </w:rPr>
        <w:t xml:space="preserve">specify any new procedure and signaling </w:t>
      </w:r>
      <w:r w:rsidR="00A057A7" w:rsidRPr="00A94C7B">
        <w:rPr>
          <w:rFonts w:ascii="Arial" w:hAnsi="Arial" w:cs="Arial"/>
        </w:rPr>
        <w:t>in this regard.</w:t>
      </w:r>
    </w:p>
    <w:p w14:paraId="1435770C" w14:textId="5701832C" w:rsidR="002B2A16" w:rsidRPr="00A94C7B" w:rsidRDefault="00062BDA" w:rsidP="009602C8">
      <w:pPr>
        <w:pStyle w:val="Observation"/>
      </w:pPr>
      <w:bookmarkStart w:id="2" w:name="_Toc83986717"/>
      <w:r>
        <w:t xml:space="preserve">According to </w:t>
      </w:r>
      <w:r w:rsidR="00337365">
        <w:t xml:space="preserve">the </w:t>
      </w:r>
      <w:r>
        <w:t xml:space="preserve">current specification, gNB side predictions can already be used to </w:t>
      </w:r>
      <w:r w:rsidR="00323EA8">
        <w:t>facilitate</w:t>
      </w:r>
      <w:r>
        <w:t xml:space="preserve"> beam management procedure.</w:t>
      </w:r>
      <w:bookmarkEnd w:id="2"/>
    </w:p>
    <w:p w14:paraId="4D8E1CCF" w14:textId="2B375338" w:rsidR="001A5C1C" w:rsidRDefault="006061D6" w:rsidP="007A04A3">
      <w:pPr>
        <w:jc w:val="both"/>
        <w:rPr>
          <w:rFonts w:ascii="Arial" w:hAnsi="Arial" w:cs="Arial"/>
        </w:rPr>
      </w:pPr>
      <w:r>
        <w:rPr>
          <w:rFonts w:ascii="Arial" w:hAnsi="Arial" w:cs="Arial"/>
        </w:rPr>
        <w:t xml:space="preserve">Another </w:t>
      </w:r>
      <w:r w:rsidR="00323EA8">
        <w:rPr>
          <w:rFonts w:ascii="Arial" w:hAnsi="Arial" w:cs="Arial"/>
        </w:rPr>
        <w:t>aspect</w:t>
      </w:r>
      <w:r w:rsidR="00417C8C">
        <w:rPr>
          <w:rFonts w:ascii="Arial" w:hAnsi="Arial" w:cs="Arial"/>
        </w:rPr>
        <w:t xml:space="preserve"> in the proposal</w:t>
      </w:r>
      <w:r w:rsidR="00261C01">
        <w:rPr>
          <w:rFonts w:ascii="Arial" w:hAnsi="Arial" w:cs="Arial"/>
        </w:rPr>
        <w:t xml:space="preserve"> may be to</w:t>
      </w:r>
      <w:r w:rsidR="00417C8C">
        <w:rPr>
          <w:rFonts w:ascii="Arial" w:hAnsi="Arial" w:cs="Arial"/>
        </w:rPr>
        <w:t xml:space="preserve"> consider BWP and</w:t>
      </w:r>
      <w:r w:rsidR="00AB47FD" w:rsidRPr="00A94C7B">
        <w:rPr>
          <w:rFonts w:ascii="Arial" w:hAnsi="Arial" w:cs="Arial"/>
        </w:rPr>
        <w:t xml:space="preserve"> </w:t>
      </w:r>
      <w:r w:rsidR="00705CB0">
        <w:rPr>
          <w:rFonts w:ascii="Arial" w:hAnsi="Arial" w:cs="Arial"/>
        </w:rPr>
        <w:t>beam switching</w:t>
      </w:r>
      <w:r w:rsidR="00417C8C">
        <w:rPr>
          <w:rFonts w:ascii="Arial" w:hAnsi="Arial" w:cs="Arial"/>
        </w:rPr>
        <w:t xml:space="preserve"> at the same time. </w:t>
      </w:r>
      <w:r w:rsidR="00261C01">
        <w:rPr>
          <w:rFonts w:ascii="Arial" w:hAnsi="Arial" w:cs="Arial"/>
        </w:rPr>
        <w:t>I</w:t>
      </w:r>
      <w:r w:rsidR="00AB47FD" w:rsidRPr="00A94C7B">
        <w:rPr>
          <w:rFonts w:ascii="Arial" w:hAnsi="Arial" w:cs="Arial"/>
        </w:rPr>
        <w:t>t is not necessary</w:t>
      </w:r>
      <w:r w:rsidR="00414928">
        <w:rPr>
          <w:rFonts w:ascii="Arial" w:hAnsi="Arial" w:cs="Arial"/>
        </w:rPr>
        <w:t xml:space="preserve"> </w:t>
      </w:r>
      <w:r w:rsidR="00AB47FD" w:rsidRPr="00A94C7B">
        <w:rPr>
          <w:rFonts w:ascii="Arial" w:hAnsi="Arial" w:cs="Arial"/>
        </w:rPr>
        <w:t>to couple BWP switching and beam switching</w:t>
      </w:r>
      <w:r w:rsidR="00261C01">
        <w:rPr>
          <w:rFonts w:ascii="Arial" w:hAnsi="Arial" w:cs="Arial"/>
        </w:rPr>
        <w:t xml:space="preserve">. </w:t>
      </w:r>
      <w:r w:rsidR="00AB47FD" w:rsidRPr="00A94C7B">
        <w:rPr>
          <w:rFonts w:ascii="Arial" w:hAnsi="Arial" w:cs="Arial"/>
        </w:rPr>
        <w:t xml:space="preserve">When UE moves around and/or serving satellite/beam moves, it is not always necessary to switch the BWP upon beam switching or vice versa for mitigating interference and managing intra-cell UE mobility. </w:t>
      </w:r>
      <w:r w:rsidR="008A058D">
        <w:rPr>
          <w:rFonts w:ascii="Arial" w:hAnsi="Arial" w:cs="Arial"/>
        </w:rPr>
        <w:t>The reason is that</w:t>
      </w:r>
      <w:r w:rsidR="00AB47FD" w:rsidRPr="00A94C7B">
        <w:rPr>
          <w:rFonts w:ascii="Arial" w:hAnsi="Arial" w:cs="Arial"/>
        </w:rPr>
        <w:t xml:space="preserve"> UE can still communicate via the same BWP even when switching to </w:t>
      </w:r>
      <w:r w:rsidR="00261C01">
        <w:rPr>
          <w:rFonts w:ascii="Arial" w:hAnsi="Arial" w:cs="Arial"/>
        </w:rPr>
        <w:t xml:space="preserve">a </w:t>
      </w:r>
      <w:r w:rsidR="00AB47FD" w:rsidRPr="00A94C7B">
        <w:rPr>
          <w:rFonts w:ascii="Arial" w:hAnsi="Arial" w:cs="Arial"/>
        </w:rPr>
        <w:t>new beam. Similarly, even if the UE switches the beam, the BWP is not necessarily required to be changed. This cast</w:t>
      </w:r>
      <w:r w:rsidR="00323EA8">
        <w:rPr>
          <w:rFonts w:ascii="Arial" w:hAnsi="Arial" w:cs="Arial"/>
        </w:rPr>
        <w:t>s</w:t>
      </w:r>
      <w:r w:rsidR="00AB47FD" w:rsidRPr="00A94C7B">
        <w:rPr>
          <w:rFonts w:ascii="Arial" w:hAnsi="Arial" w:cs="Arial"/>
        </w:rPr>
        <w:t xml:space="preserve"> further doubt on the claim that BWP switching is predictable. In short, the </w:t>
      </w:r>
      <w:r w:rsidR="00323EA8">
        <w:rPr>
          <w:rFonts w:ascii="Arial" w:hAnsi="Arial" w:cs="Arial"/>
        </w:rPr>
        <w:t>predetermined</w:t>
      </w:r>
      <w:r w:rsidR="00AB47FD" w:rsidRPr="00A94C7B">
        <w:rPr>
          <w:rFonts w:ascii="Arial" w:hAnsi="Arial" w:cs="Arial"/>
        </w:rPr>
        <w:t xml:space="preserve"> BWP switching is against the dynamic and flexible scheduling principles.</w:t>
      </w:r>
      <w:r w:rsidR="007A04A3" w:rsidRPr="00A94C7B">
        <w:rPr>
          <w:rFonts w:ascii="Arial" w:hAnsi="Arial" w:cs="Arial"/>
        </w:rPr>
        <w:t xml:space="preserve"> </w:t>
      </w:r>
      <w:r w:rsidR="00F637F6" w:rsidRPr="00A94C7B">
        <w:rPr>
          <w:rFonts w:ascii="Arial" w:hAnsi="Arial" w:cs="Arial"/>
        </w:rPr>
        <w:t xml:space="preserve">Therefore, the BWP/BM procedures including the BWP/beam switching should be performed dynamically with respect to UE position, interference level, channel condition, etc. </w:t>
      </w:r>
    </w:p>
    <w:p w14:paraId="2D4CE4C5" w14:textId="5BDDB10A" w:rsidR="009227AA" w:rsidRPr="009227AA" w:rsidRDefault="00CC5B42" w:rsidP="007F2975">
      <w:pPr>
        <w:pStyle w:val="Observation"/>
      </w:pPr>
      <w:bookmarkStart w:id="3" w:name="_Toc83986718"/>
      <w:r>
        <w:lastRenderedPageBreak/>
        <w:t xml:space="preserve">BWP switching is </w:t>
      </w:r>
      <w:r w:rsidR="00323EA8">
        <w:t xml:space="preserve">not </w:t>
      </w:r>
      <w:r>
        <w:t>necessarily</w:t>
      </w:r>
      <w:r w:rsidR="00323EA8">
        <w:t xml:space="preserve"> </w:t>
      </w:r>
      <w:r>
        <w:t>predictable</w:t>
      </w:r>
      <w:r w:rsidR="00323EA8">
        <w:t>.</w:t>
      </w:r>
      <w:r>
        <w:t xml:space="preserve"> </w:t>
      </w:r>
      <w:r w:rsidRPr="00CC5B42">
        <w:t>BWP/beam switching should be performed dynamically with respect to UE position, interference level, channel condition, etc</w:t>
      </w:r>
      <w:r w:rsidR="00261C01">
        <w:t>.</w:t>
      </w:r>
      <w:bookmarkEnd w:id="3"/>
    </w:p>
    <w:p w14:paraId="4FFC21EB" w14:textId="243F6CB0" w:rsidR="00A84EEC" w:rsidRDefault="002415B0" w:rsidP="00A84EEC">
      <w:pPr>
        <w:jc w:val="both"/>
        <w:rPr>
          <w:rFonts w:ascii="Arial" w:hAnsi="Arial" w:cs="Arial"/>
        </w:rPr>
      </w:pPr>
      <w:r>
        <w:rPr>
          <w:rFonts w:ascii="Arial" w:hAnsi="Arial" w:cs="Arial"/>
        </w:rPr>
        <w:t xml:space="preserve">One </w:t>
      </w:r>
      <w:r w:rsidR="00627E20">
        <w:rPr>
          <w:rFonts w:ascii="Arial" w:hAnsi="Arial" w:cs="Arial"/>
        </w:rPr>
        <w:t>motivation for prediction-based beam switching is</w:t>
      </w:r>
      <w:r w:rsidR="00FA4CF0">
        <w:rPr>
          <w:rFonts w:ascii="Arial" w:hAnsi="Arial" w:cs="Arial"/>
        </w:rPr>
        <w:t xml:space="preserve"> to tackle the</w:t>
      </w:r>
      <w:r w:rsidR="00A84EEC" w:rsidRPr="00A94C7B">
        <w:rPr>
          <w:rFonts w:ascii="Arial" w:hAnsi="Arial" w:cs="Arial"/>
        </w:rPr>
        <w:t xml:space="preserve"> frequent switching of </w:t>
      </w:r>
      <w:r w:rsidR="00261C01">
        <w:rPr>
          <w:rFonts w:ascii="Arial" w:hAnsi="Arial" w:cs="Arial"/>
        </w:rPr>
        <w:t>satellite</w:t>
      </w:r>
      <w:r w:rsidR="00A84EEC" w:rsidRPr="00A94C7B">
        <w:rPr>
          <w:rFonts w:ascii="Arial" w:hAnsi="Arial" w:cs="Arial"/>
        </w:rPr>
        <w:t xml:space="preserve"> beams. However, </w:t>
      </w:r>
      <w:r w:rsidR="00627E20">
        <w:rPr>
          <w:rFonts w:ascii="Arial" w:hAnsi="Arial" w:cs="Arial"/>
        </w:rPr>
        <w:t>it seems the scenario being</w:t>
      </w:r>
      <w:r w:rsidR="00A84EEC" w:rsidRPr="00A94C7B">
        <w:rPr>
          <w:rFonts w:ascii="Arial" w:hAnsi="Arial" w:cs="Arial"/>
        </w:rPr>
        <w:t xml:space="preserve"> considered here is</w:t>
      </w:r>
      <w:r w:rsidR="00FA4CF0">
        <w:rPr>
          <w:rFonts w:ascii="Arial" w:hAnsi="Arial" w:cs="Arial"/>
        </w:rPr>
        <w:t xml:space="preserve"> related to</w:t>
      </w:r>
      <w:r w:rsidR="00A84EEC" w:rsidRPr="00A94C7B">
        <w:rPr>
          <w:rFonts w:ascii="Arial" w:hAnsi="Arial" w:cs="Arial"/>
        </w:rPr>
        <w:t xml:space="preserve"> the service link </w:t>
      </w:r>
      <w:r w:rsidR="00627E20" w:rsidRPr="00A94C7B">
        <w:rPr>
          <w:rFonts w:ascii="Arial" w:hAnsi="Arial" w:cs="Arial"/>
        </w:rPr>
        <w:t>switching</w:t>
      </w:r>
      <w:r w:rsidR="005B3CB2">
        <w:rPr>
          <w:rFonts w:ascii="Arial" w:hAnsi="Arial" w:cs="Arial"/>
        </w:rPr>
        <w:t>, and</w:t>
      </w:r>
      <w:r w:rsidR="00A84EEC" w:rsidRPr="00A94C7B">
        <w:rPr>
          <w:rFonts w:ascii="Arial" w:hAnsi="Arial" w:cs="Arial"/>
        </w:rPr>
        <w:t xml:space="preserve"> </w:t>
      </w:r>
      <w:r w:rsidR="00627E20">
        <w:rPr>
          <w:rFonts w:ascii="Arial" w:hAnsi="Arial" w:cs="Arial"/>
        </w:rPr>
        <w:t xml:space="preserve">so far in this work item, </w:t>
      </w:r>
      <w:r w:rsidR="00FA4CF0">
        <w:rPr>
          <w:rFonts w:ascii="Arial" w:hAnsi="Arial" w:cs="Arial"/>
        </w:rPr>
        <w:t>the consensus is that</w:t>
      </w:r>
      <w:r w:rsidR="00A84EEC" w:rsidRPr="00A94C7B">
        <w:rPr>
          <w:rFonts w:ascii="Arial" w:hAnsi="Arial" w:cs="Arial"/>
        </w:rPr>
        <w:t xml:space="preserve"> this </w:t>
      </w:r>
      <w:r w:rsidR="00627E20">
        <w:rPr>
          <w:rFonts w:ascii="Arial" w:hAnsi="Arial" w:cs="Arial"/>
        </w:rPr>
        <w:t>will be handled by</w:t>
      </w:r>
      <w:r w:rsidR="00A84EEC" w:rsidRPr="00A94C7B">
        <w:rPr>
          <w:rFonts w:ascii="Arial" w:hAnsi="Arial" w:cs="Arial"/>
        </w:rPr>
        <w:t xml:space="preserve"> </w:t>
      </w:r>
      <w:r w:rsidR="00627E20" w:rsidRPr="00A94C7B">
        <w:rPr>
          <w:rFonts w:ascii="Arial" w:hAnsi="Arial" w:cs="Arial"/>
        </w:rPr>
        <w:t>mobility</w:t>
      </w:r>
      <w:r w:rsidR="00A84EEC" w:rsidRPr="00A94C7B">
        <w:rPr>
          <w:rFonts w:ascii="Arial" w:hAnsi="Arial" w:cs="Arial"/>
        </w:rPr>
        <w:t xml:space="preserve"> </w:t>
      </w:r>
      <w:r w:rsidR="00627E20">
        <w:rPr>
          <w:rFonts w:ascii="Arial" w:hAnsi="Arial" w:cs="Arial"/>
        </w:rPr>
        <w:t xml:space="preserve">and specifically </w:t>
      </w:r>
      <w:r w:rsidR="00A84EEC" w:rsidRPr="00A94C7B">
        <w:rPr>
          <w:rFonts w:ascii="Arial" w:hAnsi="Arial" w:cs="Arial"/>
        </w:rPr>
        <w:t xml:space="preserve">handover </w:t>
      </w:r>
      <w:r w:rsidR="00627E20" w:rsidRPr="00A94C7B">
        <w:rPr>
          <w:rFonts w:ascii="Arial" w:hAnsi="Arial" w:cs="Arial"/>
        </w:rPr>
        <w:t>procedure</w:t>
      </w:r>
      <w:r w:rsidR="00A84EEC" w:rsidRPr="00A94C7B">
        <w:rPr>
          <w:rFonts w:ascii="Arial" w:hAnsi="Arial" w:cs="Arial"/>
        </w:rPr>
        <w:t xml:space="preserve">. </w:t>
      </w:r>
      <w:r w:rsidR="00071150" w:rsidRPr="00071150">
        <w:rPr>
          <w:rFonts w:ascii="Arial" w:hAnsi="Arial" w:cs="Arial"/>
        </w:rPr>
        <w:t>So,</w:t>
      </w:r>
      <w:r w:rsidR="00A84EEC" w:rsidRPr="00A94C7B">
        <w:rPr>
          <w:rFonts w:ascii="Arial" w:hAnsi="Arial" w:cs="Arial"/>
        </w:rPr>
        <w:t xml:space="preserve"> we would like to </w:t>
      </w:r>
      <w:r w:rsidR="00627E20" w:rsidRPr="00A94C7B">
        <w:rPr>
          <w:rFonts w:ascii="Arial" w:hAnsi="Arial" w:cs="Arial"/>
        </w:rPr>
        <w:t>emphasi</w:t>
      </w:r>
      <w:r w:rsidR="00FA4CF0">
        <w:rPr>
          <w:rFonts w:ascii="Arial" w:hAnsi="Arial" w:cs="Arial"/>
        </w:rPr>
        <w:t>ze</w:t>
      </w:r>
      <w:r w:rsidR="00A84EEC" w:rsidRPr="00A94C7B">
        <w:rPr>
          <w:rFonts w:ascii="Arial" w:hAnsi="Arial" w:cs="Arial"/>
        </w:rPr>
        <w:t xml:space="preserve"> the distinction between service link switching and NR beam switching</w:t>
      </w:r>
      <w:r w:rsidR="00627E20">
        <w:rPr>
          <w:rFonts w:ascii="Arial" w:hAnsi="Arial" w:cs="Arial"/>
        </w:rPr>
        <w:t xml:space="preserve"> here</w:t>
      </w:r>
      <w:r w:rsidR="00A84EEC" w:rsidRPr="00A94C7B">
        <w:rPr>
          <w:rFonts w:ascii="Arial" w:hAnsi="Arial" w:cs="Arial"/>
        </w:rPr>
        <w:t>.</w:t>
      </w:r>
    </w:p>
    <w:p w14:paraId="48C474A8" w14:textId="62DDA1AD" w:rsidR="00627E20" w:rsidRPr="00A94C7B" w:rsidRDefault="00627E20" w:rsidP="001E3DF5">
      <w:pPr>
        <w:pStyle w:val="Observation"/>
      </w:pPr>
      <w:bookmarkStart w:id="4" w:name="_Toc83986719"/>
      <w:r>
        <w:t>The frequent satellite beam switching</w:t>
      </w:r>
      <w:r w:rsidR="00FA4CF0">
        <w:t xml:space="preserve"> for </w:t>
      </w:r>
      <w:r w:rsidR="009E26FD">
        <w:t>e</w:t>
      </w:r>
      <w:r w:rsidR="00FA4CF0">
        <w:t>arth fixed beams</w:t>
      </w:r>
      <w:r>
        <w:t xml:space="preserve"> is mainly caused by service link </w:t>
      </w:r>
      <w:r w:rsidR="001E3DF5">
        <w:t>switching,</w:t>
      </w:r>
      <w:r>
        <w:t xml:space="preserve"> which is handled by handover and not by L1 beam switching.</w:t>
      </w:r>
      <w:bookmarkEnd w:id="4"/>
    </w:p>
    <w:p w14:paraId="49BE971E" w14:textId="5002B255" w:rsidR="00A84EEC" w:rsidRDefault="006A0FBE" w:rsidP="00D41415">
      <w:pPr>
        <w:jc w:val="both"/>
        <w:rPr>
          <w:rFonts w:ascii="Arial" w:hAnsi="Arial" w:cs="Arial"/>
        </w:rPr>
      </w:pPr>
      <w:r w:rsidRPr="00A94C7B">
        <w:rPr>
          <w:rFonts w:ascii="Arial" w:hAnsi="Arial" w:cs="Arial"/>
        </w:rPr>
        <w:t>Regarding performing the switching for group of U</w:t>
      </w:r>
      <w:r w:rsidR="00C40098">
        <w:rPr>
          <w:rFonts w:ascii="Arial" w:hAnsi="Arial" w:cs="Arial"/>
        </w:rPr>
        <w:t>E</w:t>
      </w:r>
      <w:r w:rsidRPr="00A94C7B">
        <w:rPr>
          <w:rFonts w:ascii="Arial" w:hAnsi="Arial" w:cs="Arial"/>
        </w:rPr>
        <w:t xml:space="preserve">s, we </w:t>
      </w:r>
      <w:r w:rsidR="009E26FD">
        <w:rPr>
          <w:rFonts w:ascii="Arial" w:hAnsi="Arial" w:cs="Arial"/>
        </w:rPr>
        <w:t>consider</w:t>
      </w:r>
      <w:r w:rsidRPr="00A94C7B">
        <w:rPr>
          <w:rFonts w:ascii="Arial" w:hAnsi="Arial" w:cs="Arial"/>
        </w:rPr>
        <w:t xml:space="preserve"> </w:t>
      </w:r>
      <w:r w:rsidR="00020D34" w:rsidRPr="00A94C7B">
        <w:rPr>
          <w:rFonts w:ascii="Arial" w:hAnsi="Arial" w:cs="Arial"/>
        </w:rPr>
        <w:t>t</w:t>
      </w:r>
      <w:r w:rsidR="005943BB" w:rsidRPr="00A94C7B">
        <w:rPr>
          <w:rFonts w:ascii="Arial" w:hAnsi="Arial" w:cs="Arial"/>
        </w:rPr>
        <w:t>his scenario not</w:t>
      </w:r>
      <w:r w:rsidR="00267089" w:rsidRPr="00A94C7B">
        <w:rPr>
          <w:rFonts w:ascii="Arial" w:hAnsi="Arial" w:cs="Arial"/>
        </w:rPr>
        <w:t xml:space="preserve"> representative for satellite communication. For earth fixed beam scenario, the beam/BWP switching also depends on the UE mobility and level of interference</w:t>
      </w:r>
      <w:r w:rsidR="00323EA8">
        <w:rPr>
          <w:rFonts w:ascii="Arial" w:hAnsi="Arial" w:cs="Arial"/>
        </w:rPr>
        <w:t>.</w:t>
      </w:r>
      <w:r w:rsidR="009E26FD">
        <w:rPr>
          <w:rFonts w:ascii="Arial" w:hAnsi="Arial" w:cs="Arial"/>
        </w:rPr>
        <w:t xml:space="preserve"> </w:t>
      </w:r>
      <w:r w:rsidR="00323EA8">
        <w:rPr>
          <w:rFonts w:ascii="Arial" w:hAnsi="Arial" w:cs="Arial"/>
        </w:rPr>
        <w:t>T</w:t>
      </w:r>
      <w:r w:rsidR="009E26FD">
        <w:rPr>
          <w:rFonts w:ascii="Arial" w:hAnsi="Arial" w:cs="Arial"/>
        </w:rPr>
        <w:t>hus</w:t>
      </w:r>
      <w:r w:rsidR="00323EA8">
        <w:rPr>
          <w:rFonts w:ascii="Arial" w:hAnsi="Arial" w:cs="Arial"/>
        </w:rPr>
        <w:t>,</w:t>
      </w:r>
      <w:r w:rsidR="009E26FD">
        <w:rPr>
          <w:rFonts w:ascii="Arial" w:hAnsi="Arial" w:cs="Arial"/>
        </w:rPr>
        <w:t xml:space="preserve"> it</w:t>
      </w:r>
      <w:r w:rsidR="00267089" w:rsidRPr="00A94C7B">
        <w:rPr>
          <w:rFonts w:ascii="Arial" w:hAnsi="Arial" w:cs="Arial"/>
        </w:rPr>
        <w:t xml:space="preserve"> needs to be addressed for each UE separately and dynamically, based on the UE measurements and</w:t>
      </w:r>
      <w:r w:rsidR="009E26FD">
        <w:rPr>
          <w:rFonts w:ascii="Arial" w:hAnsi="Arial" w:cs="Arial"/>
        </w:rPr>
        <w:t xml:space="preserve"> specific</w:t>
      </w:r>
      <w:r w:rsidR="00267089" w:rsidRPr="00A94C7B">
        <w:rPr>
          <w:rFonts w:ascii="Arial" w:hAnsi="Arial" w:cs="Arial"/>
        </w:rPr>
        <w:t xml:space="preserve"> condition</w:t>
      </w:r>
      <w:r w:rsidR="009E26FD">
        <w:rPr>
          <w:rFonts w:ascii="Arial" w:hAnsi="Arial" w:cs="Arial"/>
        </w:rPr>
        <w:t>s</w:t>
      </w:r>
      <w:r w:rsidR="00267089" w:rsidRPr="00A94C7B">
        <w:rPr>
          <w:rFonts w:ascii="Arial" w:hAnsi="Arial" w:cs="Arial"/>
        </w:rPr>
        <w:t>. For earth moving beam scenario, the satellite beam moves gradually on the surface of earth and the switching point</w:t>
      </w:r>
      <w:r w:rsidR="00323EA8">
        <w:rPr>
          <w:rFonts w:ascii="Arial" w:hAnsi="Arial" w:cs="Arial"/>
        </w:rPr>
        <w:t>s</w:t>
      </w:r>
      <w:r w:rsidR="00267089" w:rsidRPr="00A94C7B">
        <w:rPr>
          <w:rFonts w:ascii="Arial" w:hAnsi="Arial" w:cs="Arial"/>
        </w:rPr>
        <w:t xml:space="preserve"> in time </w:t>
      </w:r>
      <w:r w:rsidR="00323EA8">
        <w:rPr>
          <w:rFonts w:ascii="Arial" w:hAnsi="Arial" w:cs="Arial"/>
        </w:rPr>
        <w:t>are</w:t>
      </w:r>
      <w:r w:rsidR="00267089" w:rsidRPr="00A94C7B">
        <w:rPr>
          <w:rFonts w:ascii="Arial" w:hAnsi="Arial" w:cs="Arial"/>
        </w:rPr>
        <w:t xml:space="preserve"> different for different UEs, unless the UEs are in a close distance in relation with the beam edge, which is not predictable and not valid all the time. Therefore, the need of group switching of UEs is not motivated.</w:t>
      </w:r>
    </w:p>
    <w:p w14:paraId="5C7F6333" w14:textId="4B0E31A7" w:rsidR="00150CD7" w:rsidRDefault="008D4353" w:rsidP="00AA7E83">
      <w:pPr>
        <w:pStyle w:val="Observation"/>
      </w:pPr>
      <w:bookmarkStart w:id="5" w:name="_Toc83986720"/>
      <w:r>
        <w:t>No</w:t>
      </w:r>
      <w:r w:rsidR="00856283">
        <w:t xml:space="preserve"> clear scenario or </w:t>
      </w:r>
      <w:r>
        <w:t>evaluation</w:t>
      </w:r>
      <w:r w:rsidR="00856283">
        <w:t xml:space="preserve"> </w:t>
      </w:r>
      <w:r>
        <w:t xml:space="preserve">has been provided </w:t>
      </w:r>
      <w:r w:rsidR="009E26FD">
        <w:t>to motivate the</w:t>
      </w:r>
      <w:r w:rsidR="00856283">
        <w:t xml:space="preserve"> need for simultaneous beam switching of group of UEs.</w:t>
      </w:r>
      <w:bookmarkEnd w:id="5"/>
    </w:p>
    <w:p w14:paraId="62006D60" w14:textId="6BCF6E62" w:rsidR="00C05E7D" w:rsidRPr="00A94C7B" w:rsidRDefault="009E26FD" w:rsidP="00B06E93">
      <w:pPr>
        <w:jc w:val="both"/>
        <w:rPr>
          <w:rFonts w:ascii="Arial" w:hAnsi="Arial" w:cs="Arial"/>
        </w:rPr>
      </w:pPr>
      <w:r>
        <w:rPr>
          <w:rFonts w:ascii="Arial" w:hAnsi="Arial" w:cs="Arial"/>
        </w:rPr>
        <w:t>In short,</w:t>
      </w:r>
      <w:r w:rsidR="00150CD7">
        <w:rPr>
          <w:rFonts w:ascii="Arial" w:hAnsi="Arial" w:cs="Arial"/>
        </w:rPr>
        <w:t xml:space="preserve"> further scenarios or evaluations should be </w:t>
      </w:r>
      <w:r w:rsidR="00247BF0">
        <w:rPr>
          <w:rFonts w:ascii="Arial" w:hAnsi="Arial" w:cs="Arial"/>
        </w:rPr>
        <w:t xml:space="preserve">provided for introducing such </w:t>
      </w:r>
      <w:r w:rsidR="00C05E7D">
        <w:rPr>
          <w:rFonts w:ascii="Arial" w:hAnsi="Arial" w:cs="Arial"/>
        </w:rPr>
        <w:t>enhancement</w:t>
      </w:r>
      <w:r w:rsidR="00B06E93" w:rsidRPr="00B20AF5">
        <w:rPr>
          <w:rFonts w:ascii="Arial" w:hAnsi="Arial" w:cs="Arial"/>
        </w:rPr>
        <w:t>.</w:t>
      </w:r>
      <w:r>
        <w:rPr>
          <w:rFonts w:ascii="Arial" w:hAnsi="Arial" w:cs="Arial"/>
        </w:rPr>
        <w:t xml:space="preserve"> </w:t>
      </w:r>
      <w:r w:rsidR="00C05E7D">
        <w:rPr>
          <w:rFonts w:ascii="Arial" w:hAnsi="Arial" w:cs="Arial"/>
        </w:rPr>
        <w:t>Based on</w:t>
      </w:r>
      <w:r>
        <w:rPr>
          <w:rFonts w:ascii="Arial" w:hAnsi="Arial" w:cs="Arial"/>
        </w:rPr>
        <w:t xml:space="preserve"> the</w:t>
      </w:r>
      <w:r w:rsidR="00C05E7D">
        <w:rPr>
          <w:rFonts w:ascii="Arial" w:hAnsi="Arial" w:cs="Arial"/>
        </w:rPr>
        <w:t xml:space="preserve"> above discussion</w:t>
      </w:r>
      <w:r>
        <w:rPr>
          <w:rFonts w:ascii="Arial" w:hAnsi="Arial" w:cs="Arial"/>
        </w:rPr>
        <w:t>,</w:t>
      </w:r>
      <w:r w:rsidR="00C05E7D">
        <w:rPr>
          <w:rFonts w:ascii="Arial" w:hAnsi="Arial" w:cs="Arial"/>
        </w:rPr>
        <w:t xml:space="preserve">: </w:t>
      </w:r>
    </w:p>
    <w:p w14:paraId="188B85DE" w14:textId="31CCBCB9" w:rsidR="002F3F7D" w:rsidRPr="008D4353" w:rsidRDefault="002F3F7D" w:rsidP="002F3F7D">
      <w:pPr>
        <w:pStyle w:val="Proposal"/>
      </w:pPr>
      <w:bookmarkStart w:id="6" w:name="_Toc83986731"/>
      <w:r w:rsidRPr="008D4353">
        <w:t>Regarding</w:t>
      </w:r>
      <w:r w:rsidRPr="00DB4105">
        <w:t xml:space="preserve"> </w:t>
      </w:r>
      <w:r>
        <w:t>p</w:t>
      </w:r>
      <w:r w:rsidRPr="00DB4105">
        <w:t>rediction based gNB dominant BWP/beam switching</w:t>
      </w:r>
      <w:r w:rsidRPr="008D4353">
        <w:t xml:space="preserve">, the following </w:t>
      </w:r>
      <w:r>
        <w:t>aspects need to be studied first</w:t>
      </w:r>
      <w:r w:rsidRPr="008D4353">
        <w:t>:</w:t>
      </w:r>
      <w:bookmarkEnd w:id="6"/>
    </w:p>
    <w:p w14:paraId="3B9B4E12" w14:textId="77777777" w:rsidR="007835B6" w:rsidRPr="00374E56" w:rsidRDefault="007835B6" w:rsidP="009618EB">
      <w:pPr>
        <w:pStyle w:val="Proposal"/>
        <w:numPr>
          <w:ilvl w:val="2"/>
          <w:numId w:val="26"/>
        </w:numPr>
      </w:pPr>
      <w:bookmarkStart w:id="7" w:name="_Toc83986732"/>
      <w:r w:rsidRPr="00374E56">
        <w:t>Whether any specification work is required for prediction-based beam switching</w:t>
      </w:r>
      <w:r w:rsidR="00AB7A4E">
        <w:t xml:space="preserve"> at the gNB side</w:t>
      </w:r>
      <w:r w:rsidR="009E26FD">
        <w:t>.</w:t>
      </w:r>
      <w:bookmarkEnd w:id="7"/>
    </w:p>
    <w:p w14:paraId="500ED9C3" w14:textId="1A7FF66D" w:rsidR="00D16462" w:rsidRPr="00374E56" w:rsidRDefault="00AC392D" w:rsidP="009618EB">
      <w:pPr>
        <w:pStyle w:val="Proposal"/>
        <w:numPr>
          <w:ilvl w:val="2"/>
          <w:numId w:val="26"/>
        </w:numPr>
      </w:pPr>
      <w:bookmarkStart w:id="8" w:name="_Toc83986733"/>
      <w:r w:rsidRPr="00374E56">
        <w:t xml:space="preserve">Clarification of enhancements that address L1 beam switching compared to </w:t>
      </w:r>
      <w:r w:rsidR="00400F99" w:rsidRPr="00374E56">
        <w:t>the</w:t>
      </w:r>
      <w:r w:rsidR="009E26FD">
        <w:t xml:space="preserve"> </w:t>
      </w:r>
      <w:r w:rsidR="009E26FD" w:rsidRPr="00374E56">
        <w:t>enhancements</w:t>
      </w:r>
      <w:r w:rsidR="009E26FD">
        <w:t xml:space="preserve"> of</w:t>
      </w:r>
      <w:r w:rsidR="00FB6BEF" w:rsidRPr="00374E56">
        <w:t xml:space="preserve"> service link </w:t>
      </w:r>
      <w:r w:rsidR="00B36C38" w:rsidRPr="00374E56">
        <w:t>switching</w:t>
      </w:r>
      <w:r w:rsidR="0095152F" w:rsidRPr="00374E56">
        <w:t>.</w:t>
      </w:r>
      <w:bookmarkEnd w:id="8"/>
    </w:p>
    <w:p w14:paraId="64C4E3C8" w14:textId="28F4F4F2" w:rsidR="00B06E93" w:rsidRPr="00374E56" w:rsidRDefault="009E26FD" w:rsidP="009618EB">
      <w:pPr>
        <w:pStyle w:val="Proposal"/>
        <w:numPr>
          <w:ilvl w:val="2"/>
          <w:numId w:val="26"/>
        </w:numPr>
      </w:pPr>
      <w:bookmarkStart w:id="9" w:name="_Toc83986734"/>
      <w:r>
        <w:t>D</w:t>
      </w:r>
      <w:r w:rsidR="00B06E93" w:rsidRPr="00374E56">
        <w:t xml:space="preserve">etailed scenarios that </w:t>
      </w:r>
      <w:r w:rsidR="00B9187B">
        <w:t>prove</w:t>
      </w:r>
      <w:r w:rsidR="00B06E93" w:rsidRPr="00374E56">
        <w:t xml:space="preserve"> the specific issues regarding</w:t>
      </w:r>
      <w:r w:rsidR="00B9187B">
        <w:t xml:space="preserve"> the</w:t>
      </w:r>
      <w:r w:rsidR="00B06E93" w:rsidRPr="00374E56">
        <w:t xml:space="preserve"> predictability of NTN beam switching that requires specification work.</w:t>
      </w:r>
      <w:bookmarkEnd w:id="9"/>
    </w:p>
    <w:p w14:paraId="7E28C500" w14:textId="6478AF43" w:rsidR="002F3F7D" w:rsidRPr="00B332D4" w:rsidRDefault="00742387" w:rsidP="00B332D4">
      <w:pPr>
        <w:pStyle w:val="Proposal"/>
        <w:numPr>
          <w:ilvl w:val="2"/>
          <w:numId w:val="26"/>
        </w:numPr>
        <w:rPr>
          <w:rFonts w:cs="Arial"/>
        </w:rPr>
      </w:pPr>
      <w:bookmarkStart w:id="10" w:name="_Toc83986735"/>
      <w:r w:rsidRPr="00374E56">
        <w:t>Clear scenario</w:t>
      </w:r>
      <w:r w:rsidR="00B9187B">
        <w:t>s</w:t>
      </w:r>
      <w:r w:rsidR="00C636A8" w:rsidRPr="00374E56">
        <w:t xml:space="preserve"> </w:t>
      </w:r>
      <w:r w:rsidR="00B9187B">
        <w:t>and</w:t>
      </w:r>
      <w:r w:rsidR="00C636A8" w:rsidRPr="00374E56">
        <w:t xml:space="preserve"> evaluations</w:t>
      </w:r>
      <w:r w:rsidR="00B9187B">
        <w:t xml:space="preserve"> (including agreed simulation assumptions)</w:t>
      </w:r>
      <w:r w:rsidR="00C636A8" w:rsidRPr="00374E56">
        <w:t xml:space="preserve"> that support the n</w:t>
      </w:r>
      <w:r w:rsidR="001E3DF5" w:rsidRPr="00374E56">
        <w:t xml:space="preserve">eed for </w:t>
      </w:r>
      <w:r w:rsidR="007B00D7" w:rsidRPr="00374E56">
        <w:t xml:space="preserve">simultaneous </w:t>
      </w:r>
      <w:r w:rsidR="001D1F2F" w:rsidRPr="00374E56">
        <w:t>switching of group of UEs</w:t>
      </w:r>
      <w:r w:rsidR="00B9187B">
        <w:t>.</w:t>
      </w:r>
      <w:bookmarkEnd w:id="10"/>
    </w:p>
    <w:p w14:paraId="6400F342" w14:textId="6969C0C1" w:rsidR="005E7C60" w:rsidRDefault="005E7C60" w:rsidP="00D41415">
      <w:pPr>
        <w:jc w:val="both"/>
        <w:rPr>
          <w:rFonts w:ascii="Arial" w:hAnsi="Arial" w:cs="Arial"/>
        </w:rPr>
      </w:pPr>
      <w:r>
        <w:rPr>
          <w:rFonts w:ascii="Arial" w:hAnsi="Arial" w:cs="Arial"/>
        </w:rPr>
        <w:t>From the observations we provided so far</w:t>
      </w:r>
      <w:r w:rsidR="00A82A66">
        <w:rPr>
          <w:rFonts w:ascii="Arial" w:hAnsi="Arial" w:cs="Arial"/>
        </w:rPr>
        <w:t>,</w:t>
      </w:r>
      <w:r>
        <w:rPr>
          <w:rFonts w:ascii="Arial" w:hAnsi="Arial" w:cs="Arial"/>
        </w:rPr>
        <w:t xml:space="preserve"> </w:t>
      </w:r>
      <w:proofErr w:type="gramStart"/>
      <w:r>
        <w:rPr>
          <w:rFonts w:ascii="Arial" w:hAnsi="Arial" w:cs="Arial"/>
        </w:rPr>
        <w:t>it is clear that introducing</w:t>
      </w:r>
      <w:proofErr w:type="gramEnd"/>
      <w:r>
        <w:rPr>
          <w:rFonts w:ascii="Arial" w:hAnsi="Arial" w:cs="Arial"/>
        </w:rPr>
        <w:t xml:space="preserve"> any </w:t>
      </w:r>
      <w:r w:rsidR="00B332D4">
        <w:rPr>
          <w:rFonts w:ascii="Arial" w:hAnsi="Arial" w:cs="Arial"/>
        </w:rPr>
        <w:t>prediction-based</w:t>
      </w:r>
      <w:r>
        <w:rPr>
          <w:rFonts w:ascii="Arial" w:hAnsi="Arial" w:cs="Arial"/>
        </w:rPr>
        <w:t xml:space="preserve"> BWP/beam switching requires car</w:t>
      </w:r>
      <w:r w:rsidR="00A82A66">
        <w:rPr>
          <w:rFonts w:ascii="Arial" w:hAnsi="Arial" w:cs="Arial"/>
        </w:rPr>
        <w:t>e</w:t>
      </w:r>
      <w:r>
        <w:rPr>
          <w:rFonts w:ascii="Arial" w:hAnsi="Arial" w:cs="Arial"/>
        </w:rPr>
        <w:t xml:space="preserve">ful and detailed investigation. Given </w:t>
      </w:r>
      <w:r w:rsidR="00A82A66">
        <w:rPr>
          <w:rFonts w:ascii="Arial" w:hAnsi="Arial" w:cs="Arial"/>
        </w:rPr>
        <w:t>limited time</w:t>
      </w:r>
      <w:r w:rsidR="00126B7B">
        <w:rPr>
          <w:rFonts w:ascii="Arial" w:hAnsi="Arial" w:cs="Arial"/>
        </w:rPr>
        <w:t xml:space="preserve"> </w:t>
      </w:r>
      <w:r>
        <w:rPr>
          <w:rFonts w:ascii="Arial" w:hAnsi="Arial" w:cs="Arial"/>
        </w:rPr>
        <w:t>left for Rel-17 work item</w:t>
      </w:r>
      <w:r w:rsidR="00126B7B">
        <w:rPr>
          <w:rFonts w:ascii="Arial" w:hAnsi="Arial" w:cs="Arial"/>
        </w:rPr>
        <w:t xml:space="preserve">, it </w:t>
      </w:r>
      <w:r w:rsidR="00A82A66">
        <w:rPr>
          <w:rFonts w:ascii="Arial" w:hAnsi="Arial" w:cs="Arial"/>
        </w:rPr>
        <w:t>appears difficult</w:t>
      </w:r>
      <w:r w:rsidR="00126B7B">
        <w:rPr>
          <w:rFonts w:ascii="Arial" w:hAnsi="Arial" w:cs="Arial"/>
        </w:rPr>
        <w:t xml:space="preserve"> to </w:t>
      </w:r>
      <w:r w:rsidR="00DE4B46">
        <w:rPr>
          <w:rFonts w:ascii="Arial" w:hAnsi="Arial" w:cs="Arial"/>
        </w:rPr>
        <w:t xml:space="preserve">complete such </w:t>
      </w:r>
      <w:r w:rsidR="00A82A66">
        <w:rPr>
          <w:rFonts w:ascii="Arial" w:hAnsi="Arial" w:cs="Arial"/>
        </w:rPr>
        <w:t>proper</w:t>
      </w:r>
      <w:r w:rsidR="00DE4B46">
        <w:rPr>
          <w:rFonts w:ascii="Arial" w:hAnsi="Arial" w:cs="Arial"/>
        </w:rPr>
        <w:t xml:space="preserve"> </w:t>
      </w:r>
      <w:r w:rsidR="00A82A66">
        <w:rPr>
          <w:rFonts w:ascii="Arial" w:hAnsi="Arial" w:cs="Arial"/>
        </w:rPr>
        <w:t>study. Therefore,</w:t>
      </w:r>
      <w:r>
        <w:rPr>
          <w:rFonts w:ascii="Arial" w:hAnsi="Arial" w:cs="Arial"/>
        </w:rPr>
        <w:t xml:space="preserve"> we suggest that any prediction-based BWP/Beam switching</w:t>
      </w:r>
      <w:r w:rsidR="00DE4B46">
        <w:rPr>
          <w:rFonts w:ascii="Arial" w:hAnsi="Arial" w:cs="Arial"/>
        </w:rPr>
        <w:t xml:space="preserve"> be handled in </w:t>
      </w:r>
      <w:r w:rsidR="00A82A66">
        <w:rPr>
          <w:rFonts w:ascii="Arial" w:hAnsi="Arial" w:cs="Arial"/>
        </w:rPr>
        <w:t>the</w:t>
      </w:r>
      <w:r w:rsidR="00DE4B46">
        <w:rPr>
          <w:rFonts w:ascii="Arial" w:hAnsi="Arial" w:cs="Arial"/>
        </w:rPr>
        <w:t xml:space="preserve"> Rel-18 scope </w:t>
      </w:r>
      <w:r w:rsidR="00A82A66">
        <w:rPr>
          <w:rFonts w:ascii="Arial" w:hAnsi="Arial" w:cs="Arial"/>
        </w:rPr>
        <w:t>email</w:t>
      </w:r>
      <w:r w:rsidR="00DE4B46">
        <w:rPr>
          <w:rFonts w:ascii="Arial" w:hAnsi="Arial" w:cs="Arial"/>
        </w:rPr>
        <w:t xml:space="preserve"> discussion.</w:t>
      </w:r>
      <w:r>
        <w:rPr>
          <w:rFonts w:ascii="Arial" w:hAnsi="Arial" w:cs="Arial"/>
        </w:rPr>
        <w:t xml:space="preserve"> </w:t>
      </w:r>
    </w:p>
    <w:p w14:paraId="5A1AFB25" w14:textId="31CF2144" w:rsidR="005E7C60" w:rsidRDefault="00A82A66" w:rsidP="00E60B19">
      <w:pPr>
        <w:pStyle w:val="Proposal"/>
      </w:pPr>
      <w:bookmarkStart w:id="11" w:name="_Toc83986736"/>
      <w:r>
        <w:t xml:space="preserve">Handle </w:t>
      </w:r>
      <w:r w:rsidR="00773F59">
        <w:t>prediction</w:t>
      </w:r>
      <w:r w:rsidR="00BC6AFD">
        <w:t>-</w:t>
      </w:r>
      <w:r w:rsidR="00773F59">
        <w:t xml:space="preserve">based BWP/beam </w:t>
      </w:r>
      <w:r>
        <w:t>management</w:t>
      </w:r>
      <w:r w:rsidR="00B332D4">
        <w:t xml:space="preserve"> topic</w:t>
      </w:r>
      <w:r w:rsidR="00773F59">
        <w:t xml:space="preserve"> </w:t>
      </w:r>
      <w:r>
        <w:t>as part of</w:t>
      </w:r>
      <w:r w:rsidR="00773F59">
        <w:t xml:space="preserve"> the Rel-18 scope email discussion</w:t>
      </w:r>
      <w:r>
        <w:t>.</w:t>
      </w:r>
      <w:bookmarkEnd w:id="11"/>
    </w:p>
    <w:p w14:paraId="26D0E577" w14:textId="41A6356C" w:rsidR="00E20235" w:rsidRPr="00A94C7B" w:rsidRDefault="00E20235" w:rsidP="00E20235">
      <w:pPr>
        <w:pStyle w:val="Heading2"/>
        <w:rPr>
          <w:lang w:val="en-US"/>
        </w:rPr>
      </w:pPr>
      <w:r w:rsidRPr="00DF3509">
        <w:rPr>
          <w:lang w:val="en-US"/>
        </w:rPr>
        <w:t>2.</w:t>
      </w:r>
      <w:r w:rsidR="0040563E">
        <w:rPr>
          <w:lang w:val="en-US"/>
        </w:rPr>
        <w:t>3</w:t>
      </w:r>
      <w:r w:rsidRPr="00A94C7B">
        <w:rPr>
          <w:lang w:val="en-US"/>
        </w:rPr>
        <w:tab/>
      </w:r>
      <w:r w:rsidR="0040563E" w:rsidRPr="0040563E">
        <w:rPr>
          <w:lang w:val="en-US"/>
        </w:rPr>
        <w:t>Intra</w:t>
      </w:r>
      <w:r w:rsidR="00A82A66">
        <w:rPr>
          <w:lang w:val="en-US"/>
        </w:rPr>
        <w:t>-</w:t>
      </w:r>
      <w:r w:rsidR="0040563E" w:rsidRPr="0040563E">
        <w:rPr>
          <w:lang w:val="en-US"/>
        </w:rPr>
        <w:t xml:space="preserve"> and inter</w:t>
      </w:r>
      <w:r w:rsidR="00A82A66">
        <w:rPr>
          <w:lang w:val="en-US"/>
        </w:rPr>
        <w:t>-</w:t>
      </w:r>
      <w:r w:rsidR="0040563E" w:rsidRPr="0040563E">
        <w:rPr>
          <w:lang w:val="en-US"/>
        </w:rPr>
        <w:t xml:space="preserve">BWP </w:t>
      </w:r>
      <w:r w:rsidR="00A82A66">
        <w:rPr>
          <w:lang w:val="en-US"/>
        </w:rPr>
        <w:t>b</w:t>
      </w:r>
      <w:r w:rsidR="0040563E" w:rsidRPr="0040563E">
        <w:rPr>
          <w:lang w:val="en-US"/>
        </w:rPr>
        <w:t>eam measurement</w:t>
      </w:r>
      <w:r w:rsidR="00A82A66">
        <w:rPr>
          <w:lang w:val="en-US"/>
        </w:rPr>
        <w:t>s</w:t>
      </w:r>
      <w:r w:rsidR="0040563E" w:rsidRPr="0040563E">
        <w:rPr>
          <w:lang w:val="en-US"/>
        </w:rPr>
        <w:t xml:space="preserve"> </w:t>
      </w:r>
    </w:p>
    <w:p w14:paraId="7686FACF" w14:textId="11A93486" w:rsidR="00264B80" w:rsidRDefault="00185FE1" w:rsidP="00533CA4">
      <w:pPr>
        <w:jc w:val="both"/>
        <w:rPr>
          <w:rFonts w:ascii="Arial" w:hAnsi="Arial" w:cs="Arial"/>
        </w:rPr>
      </w:pPr>
      <w:r>
        <w:rPr>
          <w:rFonts w:ascii="Arial" w:hAnsi="Arial" w:cs="Arial"/>
        </w:rPr>
        <w:t>The Rel-15 beam management</w:t>
      </w:r>
      <w:r w:rsidR="00537897">
        <w:rPr>
          <w:rFonts w:ascii="Arial" w:hAnsi="Arial" w:cs="Arial"/>
        </w:rPr>
        <w:t xml:space="preserve"> mechanism </w:t>
      </w:r>
      <w:r w:rsidR="00F058F1">
        <w:rPr>
          <w:rFonts w:ascii="Arial" w:hAnsi="Arial" w:cs="Arial"/>
        </w:rPr>
        <w:t xml:space="preserve">highly </w:t>
      </w:r>
      <w:r w:rsidR="00633864">
        <w:rPr>
          <w:rFonts w:ascii="Arial" w:hAnsi="Arial" w:cs="Arial"/>
        </w:rPr>
        <w:t xml:space="preserve">relies on </w:t>
      </w:r>
      <w:r w:rsidR="00605443">
        <w:rPr>
          <w:rFonts w:ascii="Arial" w:hAnsi="Arial" w:cs="Arial"/>
        </w:rPr>
        <w:t>UE</w:t>
      </w:r>
      <w:r>
        <w:rPr>
          <w:rFonts w:ascii="Arial" w:hAnsi="Arial" w:cs="Arial"/>
        </w:rPr>
        <w:t xml:space="preserve"> </w:t>
      </w:r>
      <w:r w:rsidR="00537897">
        <w:rPr>
          <w:rFonts w:ascii="Arial" w:hAnsi="Arial" w:cs="Arial"/>
        </w:rPr>
        <w:t>measurements</w:t>
      </w:r>
      <w:r w:rsidR="00605443">
        <w:rPr>
          <w:rFonts w:ascii="Arial" w:hAnsi="Arial" w:cs="Arial"/>
        </w:rPr>
        <w:t xml:space="preserve"> and reporting</w:t>
      </w:r>
      <w:r>
        <w:rPr>
          <w:rFonts w:ascii="Arial" w:hAnsi="Arial" w:cs="Arial"/>
        </w:rPr>
        <w:t xml:space="preserve"> to help the gNB to determine and maintain </w:t>
      </w:r>
      <w:r w:rsidR="00605443">
        <w:rPr>
          <w:rFonts w:ascii="Arial" w:hAnsi="Arial" w:cs="Arial"/>
        </w:rPr>
        <w:t>suitable</w:t>
      </w:r>
      <w:r>
        <w:rPr>
          <w:rFonts w:ascii="Arial" w:hAnsi="Arial" w:cs="Arial"/>
        </w:rPr>
        <w:t xml:space="preserve"> beam pairs between gNB and UE. </w:t>
      </w:r>
      <w:r w:rsidR="00605443">
        <w:rPr>
          <w:rFonts w:ascii="Arial" w:hAnsi="Arial" w:cs="Arial"/>
        </w:rPr>
        <w:t>In RAN1#105-e,</w:t>
      </w:r>
      <w:r w:rsidR="004F128C">
        <w:rPr>
          <w:rFonts w:ascii="Arial" w:hAnsi="Arial" w:cs="Arial"/>
        </w:rPr>
        <w:t xml:space="preserve"> the </w:t>
      </w:r>
      <w:r w:rsidR="004F128C">
        <w:rPr>
          <w:rFonts w:ascii="Arial" w:hAnsi="Arial" w:cs="Arial"/>
        </w:rPr>
        <w:lastRenderedPageBreak/>
        <w:t xml:space="preserve">following proposal </w:t>
      </w:r>
      <w:r w:rsidR="00605443">
        <w:rPr>
          <w:rFonts w:ascii="Arial" w:hAnsi="Arial" w:cs="Arial"/>
        </w:rPr>
        <w:t>was</w:t>
      </w:r>
      <w:r w:rsidR="004F128C">
        <w:rPr>
          <w:rFonts w:ascii="Arial" w:hAnsi="Arial" w:cs="Arial"/>
        </w:rPr>
        <w:t xml:space="preserve"> made by the </w:t>
      </w:r>
      <w:r w:rsidR="00605443">
        <w:rPr>
          <w:rFonts w:ascii="Arial" w:hAnsi="Arial" w:cs="Arial"/>
        </w:rPr>
        <w:t>Moderator</w:t>
      </w:r>
      <w:r w:rsidR="004F128C">
        <w:rPr>
          <w:rFonts w:ascii="Arial" w:hAnsi="Arial" w:cs="Arial"/>
        </w:rPr>
        <w:t xml:space="preserve"> </w:t>
      </w:r>
      <w:r w:rsidR="00FD27A0">
        <w:rPr>
          <w:rFonts w:ascii="Arial" w:hAnsi="Arial" w:cs="Arial"/>
        </w:rPr>
        <w:t>regarding enhancement on measurement and reporting for NR NTN</w:t>
      </w:r>
      <w:r w:rsidR="007C52A9">
        <w:rPr>
          <w:rFonts w:ascii="Arial" w:hAnsi="Arial" w:cs="Arial"/>
        </w:rPr>
        <w:t xml:space="preserve"> and </w:t>
      </w:r>
      <w:r w:rsidR="00A82A66">
        <w:rPr>
          <w:rFonts w:ascii="Arial" w:hAnsi="Arial" w:cs="Arial"/>
        </w:rPr>
        <w:t>was</w:t>
      </w:r>
      <w:r w:rsidR="007C52A9">
        <w:rPr>
          <w:rFonts w:ascii="Arial" w:hAnsi="Arial" w:cs="Arial"/>
        </w:rPr>
        <w:t xml:space="preserve"> further </w:t>
      </w:r>
      <w:r w:rsidR="00A82A66">
        <w:rPr>
          <w:rFonts w:ascii="Arial" w:hAnsi="Arial" w:cs="Arial"/>
        </w:rPr>
        <w:t>discussed</w:t>
      </w:r>
      <w:r w:rsidR="007C52A9">
        <w:rPr>
          <w:rFonts w:ascii="Arial" w:hAnsi="Arial" w:cs="Arial"/>
        </w:rPr>
        <w:t xml:space="preserve"> in RAN1#106-e</w:t>
      </w:r>
      <w:r w:rsidR="00FD27A0">
        <w:rPr>
          <w:rFonts w:ascii="Arial" w:hAnsi="Arial" w:cs="Arial"/>
        </w:rPr>
        <w:t>:</w:t>
      </w:r>
    </w:p>
    <w:p w14:paraId="2C465035" w14:textId="77777777" w:rsidR="00F14383" w:rsidRPr="004361AE" w:rsidRDefault="00F14383" w:rsidP="004361AE">
      <w:pPr>
        <w:ind w:left="567"/>
        <w:jc w:val="both"/>
        <w:rPr>
          <w:rFonts w:ascii="Arial" w:hAnsi="Arial" w:cs="Arial"/>
          <w:i/>
          <w:iCs/>
        </w:rPr>
      </w:pPr>
      <w:r w:rsidRPr="004361AE">
        <w:rPr>
          <w:rFonts w:ascii="Arial" w:hAnsi="Arial" w:cs="Arial"/>
          <w:b/>
          <w:bCs/>
          <w:i/>
          <w:iCs/>
          <w:highlight w:val="yellow"/>
          <w:u w:val="single"/>
        </w:rPr>
        <w:t>FL proposal DP3-1</w:t>
      </w:r>
      <w:r w:rsidRPr="004361AE">
        <w:rPr>
          <w:rFonts w:ascii="Arial" w:hAnsi="Arial" w:cs="Arial"/>
          <w:i/>
          <w:iCs/>
        </w:rPr>
        <w:t xml:space="preserve">: </w:t>
      </w:r>
    </w:p>
    <w:p w14:paraId="207FD51A" w14:textId="23C2A259" w:rsidR="00F14383" w:rsidRPr="004361AE" w:rsidRDefault="00F14383" w:rsidP="004361AE">
      <w:pPr>
        <w:ind w:left="567"/>
        <w:jc w:val="both"/>
        <w:rPr>
          <w:rFonts w:ascii="Arial" w:hAnsi="Arial" w:cs="Arial"/>
          <w:i/>
          <w:iCs/>
        </w:rPr>
      </w:pPr>
      <w:r w:rsidRPr="004361AE">
        <w:rPr>
          <w:rFonts w:ascii="Arial" w:hAnsi="Arial" w:cs="Arial"/>
          <w:i/>
          <w:iCs/>
        </w:rPr>
        <w:t xml:space="preserve">For the deployment scenario with multiple </w:t>
      </w:r>
      <w:r w:rsidR="000E2EF5" w:rsidRPr="004361AE">
        <w:rPr>
          <w:rFonts w:ascii="Arial" w:hAnsi="Arial" w:cs="Arial"/>
          <w:i/>
          <w:iCs/>
        </w:rPr>
        <w:t>beams</w:t>
      </w:r>
      <w:r w:rsidRPr="004361AE">
        <w:rPr>
          <w:rFonts w:ascii="Arial" w:hAnsi="Arial" w:cs="Arial"/>
          <w:i/>
          <w:iCs/>
        </w:rPr>
        <w:t xml:space="preserve"> per cell and frequency reuse &gt;1, NR-NTN should support the following cases for beam measurement performed by a UE: </w:t>
      </w:r>
    </w:p>
    <w:p w14:paraId="631F03BC" w14:textId="1E8D2B81" w:rsidR="00F14383" w:rsidRPr="004361AE" w:rsidRDefault="00F14383" w:rsidP="009618EB">
      <w:pPr>
        <w:pStyle w:val="ListParagraph"/>
        <w:numPr>
          <w:ilvl w:val="0"/>
          <w:numId w:val="23"/>
        </w:numPr>
        <w:ind w:left="1287"/>
        <w:jc w:val="both"/>
        <w:rPr>
          <w:rFonts w:ascii="Arial" w:hAnsi="Arial" w:cs="Arial"/>
          <w:i/>
          <w:iCs/>
          <w:lang w:val="en-US"/>
        </w:rPr>
      </w:pPr>
      <w:r w:rsidRPr="004361AE">
        <w:rPr>
          <w:rFonts w:ascii="Arial" w:hAnsi="Arial" w:cs="Arial"/>
          <w:i/>
          <w:iCs/>
          <w:lang w:val="en-US"/>
        </w:rPr>
        <w:t xml:space="preserve">Alt-1: </w:t>
      </w:r>
      <w:bookmarkStart w:id="12" w:name="_Hlk78561055"/>
      <w:r w:rsidRPr="004361AE">
        <w:rPr>
          <w:rFonts w:ascii="Arial" w:hAnsi="Arial" w:cs="Arial"/>
          <w:i/>
          <w:iCs/>
          <w:lang w:val="en-US"/>
        </w:rPr>
        <w:t>support beam measurement on multiple RS associated with different beams within a same active BWP.</w:t>
      </w:r>
      <w:bookmarkEnd w:id="12"/>
    </w:p>
    <w:p w14:paraId="5D221A04" w14:textId="37DF3377" w:rsidR="00FD27A0" w:rsidRPr="004361AE" w:rsidRDefault="00F14383" w:rsidP="009618EB">
      <w:pPr>
        <w:pStyle w:val="ListParagraph"/>
        <w:numPr>
          <w:ilvl w:val="0"/>
          <w:numId w:val="23"/>
        </w:numPr>
        <w:ind w:left="1287"/>
        <w:jc w:val="both"/>
        <w:rPr>
          <w:rFonts w:ascii="Arial" w:hAnsi="Arial" w:cs="Arial"/>
          <w:i/>
          <w:iCs/>
          <w:lang w:val="en-US"/>
        </w:rPr>
      </w:pPr>
      <w:r w:rsidRPr="004361AE">
        <w:rPr>
          <w:rFonts w:ascii="Arial" w:hAnsi="Arial" w:cs="Arial"/>
          <w:i/>
          <w:iCs/>
          <w:lang w:val="en-US"/>
        </w:rPr>
        <w:t>Alt-2: support beam measurement on multiple RS associated with different beams within across BWPs.</w:t>
      </w:r>
    </w:p>
    <w:p w14:paraId="3F058082" w14:textId="5F5F84AD" w:rsidR="00264B80" w:rsidRDefault="002B14E0" w:rsidP="00533CA4">
      <w:pPr>
        <w:jc w:val="both"/>
        <w:rPr>
          <w:rFonts w:ascii="Arial" w:hAnsi="Arial" w:cs="Arial"/>
        </w:rPr>
      </w:pPr>
      <w:r>
        <w:rPr>
          <w:rFonts w:ascii="Arial" w:hAnsi="Arial" w:cs="Arial"/>
        </w:rPr>
        <w:t>Here</w:t>
      </w:r>
      <w:r w:rsidR="00364876">
        <w:rPr>
          <w:rFonts w:ascii="Arial" w:hAnsi="Arial" w:cs="Arial"/>
        </w:rPr>
        <w:t>,</w:t>
      </w:r>
      <w:r>
        <w:rPr>
          <w:rFonts w:ascii="Arial" w:hAnsi="Arial" w:cs="Arial"/>
        </w:rPr>
        <w:t xml:space="preserve"> we would </w:t>
      </w:r>
      <w:r w:rsidR="00364876">
        <w:rPr>
          <w:rFonts w:ascii="Arial" w:hAnsi="Arial" w:cs="Arial"/>
        </w:rPr>
        <w:t xml:space="preserve">like to </w:t>
      </w:r>
      <w:r>
        <w:rPr>
          <w:rFonts w:ascii="Arial" w:hAnsi="Arial" w:cs="Arial"/>
        </w:rPr>
        <w:t xml:space="preserve">explain our interpretation about </w:t>
      </w:r>
      <w:r w:rsidR="00605443">
        <w:rPr>
          <w:rFonts w:ascii="Arial" w:hAnsi="Arial" w:cs="Arial"/>
        </w:rPr>
        <w:t xml:space="preserve">the </w:t>
      </w:r>
      <w:r w:rsidR="000D3978">
        <w:rPr>
          <w:rFonts w:ascii="Arial" w:hAnsi="Arial" w:cs="Arial"/>
        </w:rPr>
        <w:t xml:space="preserve">different alternatives in </w:t>
      </w:r>
      <w:r>
        <w:rPr>
          <w:rFonts w:ascii="Arial" w:hAnsi="Arial" w:cs="Arial"/>
        </w:rPr>
        <w:t xml:space="preserve">the above </w:t>
      </w:r>
      <w:r w:rsidR="00D96E29">
        <w:rPr>
          <w:rFonts w:ascii="Arial" w:hAnsi="Arial" w:cs="Arial"/>
        </w:rPr>
        <w:t>proposal and</w:t>
      </w:r>
      <w:r>
        <w:rPr>
          <w:rFonts w:ascii="Arial" w:hAnsi="Arial" w:cs="Arial"/>
        </w:rPr>
        <w:t xml:space="preserve"> discuss the necessity of introducing </w:t>
      </w:r>
      <w:r w:rsidR="00C46FD5">
        <w:rPr>
          <w:rFonts w:ascii="Arial" w:hAnsi="Arial" w:cs="Arial"/>
        </w:rPr>
        <w:t>any enhancement</w:t>
      </w:r>
      <w:r>
        <w:rPr>
          <w:rFonts w:ascii="Arial" w:hAnsi="Arial" w:cs="Arial"/>
        </w:rPr>
        <w:t xml:space="preserve">. </w:t>
      </w:r>
      <w:r w:rsidR="00AB7A4E">
        <w:rPr>
          <w:rFonts w:ascii="Arial" w:hAnsi="Arial" w:cs="Arial"/>
        </w:rPr>
        <w:t>I</w:t>
      </w:r>
      <w:r w:rsidR="0098353F">
        <w:rPr>
          <w:rFonts w:ascii="Arial" w:hAnsi="Arial" w:cs="Arial"/>
        </w:rPr>
        <w:t xml:space="preserve">n </w:t>
      </w:r>
      <w:r w:rsidR="00364876">
        <w:rPr>
          <w:rFonts w:ascii="Arial" w:hAnsi="Arial" w:cs="Arial"/>
        </w:rPr>
        <w:t>idle</w:t>
      </w:r>
      <w:r w:rsidR="0098353F">
        <w:rPr>
          <w:rFonts w:ascii="Arial" w:hAnsi="Arial" w:cs="Arial"/>
        </w:rPr>
        <w:t>/inactive mode</w:t>
      </w:r>
      <w:r w:rsidR="00AB7A4E">
        <w:rPr>
          <w:rFonts w:ascii="Arial" w:hAnsi="Arial" w:cs="Arial"/>
        </w:rPr>
        <w:t>,</w:t>
      </w:r>
      <w:r w:rsidR="0098353F">
        <w:rPr>
          <w:rFonts w:ascii="Arial" w:hAnsi="Arial" w:cs="Arial"/>
        </w:rPr>
        <w:t xml:space="preserve"> UE relies</w:t>
      </w:r>
      <w:r w:rsidR="00B661B3">
        <w:rPr>
          <w:rFonts w:ascii="Arial" w:hAnsi="Arial" w:cs="Arial"/>
        </w:rPr>
        <w:t xml:space="preserve"> only</w:t>
      </w:r>
      <w:r w:rsidR="0098353F">
        <w:rPr>
          <w:rFonts w:ascii="Arial" w:hAnsi="Arial" w:cs="Arial"/>
        </w:rPr>
        <w:t xml:space="preserve"> on SSB</w:t>
      </w:r>
      <w:r w:rsidR="0017218B">
        <w:rPr>
          <w:rFonts w:ascii="Arial" w:hAnsi="Arial" w:cs="Arial"/>
        </w:rPr>
        <w:t xml:space="preserve"> for</w:t>
      </w:r>
      <w:r w:rsidR="0098353F">
        <w:rPr>
          <w:rFonts w:ascii="Arial" w:hAnsi="Arial" w:cs="Arial"/>
        </w:rPr>
        <w:t xml:space="preserve"> measurements</w:t>
      </w:r>
      <w:r w:rsidR="001E4A88">
        <w:rPr>
          <w:rFonts w:ascii="Arial" w:hAnsi="Arial" w:cs="Arial"/>
        </w:rPr>
        <w:t>. D</w:t>
      </w:r>
      <w:r w:rsidR="0098353F" w:rsidRPr="0098353F">
        <w:rPr>
          <w:rFonts w:ascii="Arial" w:hAnsi="Arial" w:cs="Arial"/>
        </w:rPr>
        <w:t>ifferent SSB</w:t>
      </w:r>
      <w:r w:rsidR="0017218B">
        <w:rPr>
          <w:rFonts w:ascii="Arial" w:hAnsi="Arial" w:cs="Arial"/>
        </w:rPr>
        <w:t>s</w:t>
      </w:r>
      <w:r w:rsidR="0098353F" w:rsidRPr="0098353F">
        <w:rPr>
          <w:rFonts w:ascii="Arial" w:hAnsi="Arial" w:cs="Arial"/>
        </w:rPr>
        <w:t xml:space="preserve"> </w:t>
      </w:r>
      <w:r w:rsidR="00B06E60">
        <w:rPr>
          <w:rFonts w:ascii="Arial" w:hAnsi="Arial" w:cs="Arial"/>
        </w:rPr>
        <w:t>of the same cell</w:t>
      </w:r>
      <w:r w:rsidR="00B661B3">
        <w:rPr>
          <w:rFonts w:ascii="Arial" w:hAnsi="Arial" w:cs="Arial"/>
        </w:rPr>
        <w:t xml:space="preserve"> </w:t>
      </w:r>
      <w:r w:rsidR="0098353F" w:rsidRPr="0098353F">
        <w:rPr>
          <w:rFonts w:ascii="Arial" w:hAnsi="Arial" w:cs="Arial"/>
        </w:rPr>
        <w:t>share the same frequency in a TDM fashion</w:t>
      </w:r>
      <w:r w:rsidR="0017218B">
        <w:rPr>
          <w:rFonts w:ascii="Arial" w:hAnsi="Arial" w:cs="Arial"/>
        </w:rPr>
        <w:t>.</w:t>
      </w:r>
      <w:r w:rsidR="00B661B3">
        <w:rPr>
          <w:rFonts w:ascii="Arial" w:hAnsi="Arial" w:cs="Arial"/>
        </w:rPr>
        <w:t xml:space="preserve"> </w:t>
      </w:r>
      <w:r w:rsidR="0098353F" w:rsidRPr="0098353F">
        <w:rPr>
          <w:rFonts w:ascii="Arial" w:hAnsi="Arial" w:cs="Arial"/>
        </w:rPr>
        <w:t>UE perform</w:t>
      </w:r>
      <w:r w:rsidR="0017218B">
        <w:rPr>
          <w:rFonts w:ascii="Arial" w:hAnsi="Arial" w:cs="Arial"/>
        </w:rPr>
        <w:t>s</w:t>
      </w:r>
      <w:r w:rsidR="001E4A88">
        <w:rPr>
          <w:rFonts w:ascii="Arial" w:hAnsi="Arial" w:cs="Arial"/>
        </w:rPr>
        <w:t xml:space="preserve"> measurement on</w:t>
      </w:r>
      <w:r w:rsidR="0098353F" w:rsidRPr="0098353F">
        <w:rPr>
          <w:rFonts w:ascii="Arial" w:hAnsi="Arial" w:cs="Arial"/>
        </w:rPr>
        <w:t xml:space="preserve"> RSs within </w:t>
      </w:r>
      <w:r w:rsidR="00C36DB7">
        <w:rPr>
          <w:rFonts w:ascii="Arial" w:hAnsi="Arial" w:cs="Arial"/>
        </w:rPr>
        <w:t>initial</w:t>
      </w:r>
      <w:r w:rsidR="0098353F" w:rsidRPr="0098353F">
        <w:rPr>
          <w:rFonts w:ascii="Arial" w:hAnsi="Arial" w:cs="Arial"/>
        </w:rPr>
        <w:t xml:space="preserve"> BWP</w:t>
      </w:r>
      <w:r w:rsidR="00C36DB7">
        <w:rPr>
          <w:rFonts w:ascii="Arial" w:hAnsi="Arial" w:cs="Arial"/>
        </w:rPr>
        <w:t xml:space="preserve"> before connection setup</w:t>
      </w:r>
      <w:r w:rsidR="001E4A88">
        <w:rPr>
          <w:rFonts w:ascii="Arial" w:hAnsi="Arial" w:cs="Arial"/>
        </w:rPr>
        <w:t xml:space="preserve"> for beam determination</w:t>
      </w:r>
      <w:r w:rsidR="003D7098">
        <w:rPr>
          <w:rFonts w:ascii="Arial" w:hAnsi="Arial" w:cs="Arial"/>
        </w:rPr>
        <w:t xml:space="preserve"> and performing connection setup</w:t>
      </w:r>
      <w:r w:rsidR="00C36DB7">
        <w:rPr>
          <w:rFonts w:ascii="Arial" w:hAnsi="Arial" w:cs="Arial"/>
        </w:rPr>
        <w:t xml:space="preserve">. </w:t>
      </w:r>
      <w:r w:rsidR="00B661B3">
        <w:rPr>
          <w:rFonts w:ascii="Arial" w:hAnsi="Arial" w:cs="Arial"/>
        </w:rPr>
        <w:t>So,</w:t>
      </w:r>
      <w:r w:rsidR="003D7098">
        <w:rPr>
          <w:rFonts w:ascii="Arial" w:hAnsi="Arial" w:cs="Arial"/>
        </w:rPr>
        <w:t xml:space="preserve"> the suggested enhancements in the DP3</w:t>
      </w:r>
      <w:r w:rsidR="0017218B">
        <w:rPr>
          <w:rFonts w:ascii="Arial" w:hAnsi="Arial" w:cs="Arial"/>
        </w:rPr>
        <w:t>-1</w:t>
      </w:r>
      <w:r w:rsidR="003D7098">
        <w:rPr>
          <w:rFonts w:ascii="Arial" w:hAnsi="Arial" w:cs="Arial"/>
        </w:rPr>
        <w:t xml:space="preserve"> do not concern </w:t>
      </w:r>
      <w:r w:rsidR="0017218B">
        <w:rPr>
          <w:rFonts w:ascii="Arial" w:hAnsi="Arial" w:cs="Arial"/>
        </w:rPr>
        <w:t>idle</w:t>
      </w:r>
      <w:r w:rsidR="003D7098">
        <w:rPr>
          <w:rFonts w:ascii="Arial" w:hAnsi="Arial" w:cs="Arial"/>
        </w:rPr>
        <w:t>/inactive mod</w:t>
      </w:r>
      <w:r w:rsidR="00CB2D5B">
        <w:rPr>
          <w:rFonts w:ascii="Arial" w:hAnsi="Arial" w:cs="Arial"/>
        </w:rPr>
        <w:t>e</w:t>
      </w:r>
      <w:r w:rsidR="00AB7A4E">
        <w:rPr>
          <w:rFonts w:ascii="Arial" w:hAnsi="Arial" w:cs="Arial"/>
        </w:rPr>
        <w:t>.</w:t>
      </w:r>
      <w:r w:rsidR="00CB2D5B">
        <w:rPr>
          <w:rFonts w:ascii="Arial" w:hAnsi="Arial" w:cs="Arial"/>
        </w:rPr>
        <w:t xml:space="preserve"> </w:t>
      </w:r>
      <w:r w:rsidR="00AB7A4E">
        <w:rPr>
          <w:rFonts w:ascii="Arial" w:hAnsi="Arial" w:cs="Arial"/>
        </w:rPr>
        <w:t>T</w:t>
      </w:r>
      <w:r w:rsidR="00B26096">
        <w:rPr>
          <w:rFonts w:ascii="Arial" w:hAnsi="Arial" w:cs="Arial"/>
        </w:rPr>
        <w:t>herefore</w:t>
      </w:r>
      <w:r w:rsidR="00AB7A4E">
        <w:rPr>
          <w:rFonts w:ascii="Arial" w:hAnsi="Arial" w:cs="Arial"/>
        </w:rPr>
        <w:t>,</w:t>
      </w:r>
      <w:r w:rsidR="00B661B3">
        <w:rPr>
          <w:rFonts w:ascii="Arial" w:hAnsi="Arial" w:cs="Arial"/>
        </w:rPr>
        <w:t xml:space="preserve"> in the following discussion we assume</w:t>
      </w:r>
      <w:r w:rsidR="00AB7A4E">
        <w:rPr>
          <w:rFonts w:ascii="Arial" w:hAnsi="Arial" w:cs="Arial"/>
        </w:rPr>
        <w:t xml:space="preserve"> that</w:t>
      </w:r>
      <w:r w:rsidR="00B661B3">
        <w:rPr>
          <w:rFonts w:ascii="Arial" w:hAnsi="Arial" w:cs="Arial"/>
        </w:rPr>
        <w:t xml:space="preserve"> UE is in </w:t>
      </w:r>
      <w:r w:rsidR="00B54059">
        <w:rPr>
          <w:rFonts w:ascii="Arial" w:hAnsi="Arial" w:cs="Arial"/>
        </w:rPr>
        <w:t>connected mode</w:t>
      </w:r>
      <w:r w:rsidR="00C36DB7">
        <w:rPr>
          <w:rFonts w:ascii="Arial" w:hAnsi="Arial" w:cs="Arial"/>
        </w:rPr>
        <w:t xml:space="preserve">. </w:t>
      </w:r>
    </w:p>
    <w:p w14:paraId="5B047B0D" w14:textId="6A07AEF9" w:rsidR="00C8796D" w:rsidRDefault="00CB4064" w:rsidP="005C316C">
      <w:pPr>
        <w:jc w:val="both"/>
        <w:rPr>
          <w:rFonts w:ascii="Arial" w:hAnsi="Arial" w:cs="Arial"/>
        </w:rPr>
      </w:pPr>
      <w:r>
        <w:rPr>
          <w:rFonts w:ascii="Arial" w:hAnsi="Arial" w:cs="Arial"/>
        </w:rPr>
        <w:t>Our interpretation of</w:t>
      </w:r>
      <w:r w:rsidR="001909E3">
        <w:rPr>
          <w:rFonts w:ascii="Arial" w:hAnsi="Arial" w:cs="Arial"/>
        </w:rPr>
        <w:t xml:space="preserve"> </w:t>
      </w:r>
      <w:r w:rsidR="0017218B">
        <w:rPr>
          <w:rFonts w:ascii="Arial" w:hAnsi="Arial" w:cs="Arial"/>
        </w:rPr>
        <w:t xml:space="preserve">the </w:t>
      </w:r>
      <w:r w:rsidR="001909E3">
        <w:rPr>
          <w:rFonts w:ascii="Arial" w:hAnsi="Arial" w:cs="Arial"/>
        </w:rPr>
        <w:t>statement in</w:t>
      </w:r>
      <w:r w:rsidR="00743744">
        <w:rPr>
          <w:rFonts w:ascii="Arial" w:hAnsi="Arial" w:cs="Arial"/>
        </w:rPr>
        <w:t xml:space="preserve"> Alt-1</w:t>
      </w:r>
      <w:r>
        <w:rPr>
          <w:rFonts w:ascii="Arial" w:hAnsi="Arial" w:cs="Arial"/>
        </w:rPr>
        <w:t xml:space="preserve"> is that </w:t>
      </w:r>
      <w:r w:rsidR="00574C06">
        <w:rPr>
          <w:rFonts w:ascii="Arial" w:hAnsi="Arial" w:cs="Arial"/>
        </w:rPr>
        <w:t xml:space="preserve">UE </w:t>
      </w:r>
      <w:r w:rsidR="00CB2D5B">
        <w:rPr>
          <w:rFonts w:ascii="Arial" w:hAnsi="Arial" w:cs="Arial"/>
        </w:rPr>
        <w:t>should be able to</w:t>
      </w:r>
      <w:r w:rsidR="00574C06">
        <w:rPr>
          <w:rFonts w:ascii="Arial" w:hAnsi="Arial" w:cs="Arial"/>
        </w:rPr>
        <w:t xml:space="preserve"> perform </w:t>
      </w:r>
      <w:r w:rsidR="00EE53A4">
        <w:rPr>
          <w:rFonts w:ascii="Arial" w:hAnsi="Arial" w:cs="Arial"/>
        </w:rPr>
        <w:t>measurements</w:t>
      </w:r>
      <w:r w:rsidR="004A1FA1">
        <w:rPr>
          <w:rFonts w:ascii="Arial" w:hAnsi="Arial" w:cs="Arial"/>
        </w:rPr>
        <w:t xml:space="preserve"> on</w:t>
      </w:r>
      <w:r w:rsidR="00EE53A4">
        <w:rPr>
          <w:rFonts w:ascii="Arial" w:hAnsi="Arial" w:cs="Arial"/>
        </w:rPr>
        <w:t xml:space="preserve"> </w:t>
      </w:r>
      <w:r w:rsidR="00082458">
        <w:rPr>
          <w:rFonts w:ascii="Arial" w:hAnsi="Arial" w:cs="Arial"/>
        </w:rPr>
        <w:t>RSs corresponding to all configured beams</w:t>
      </w:r>
      <w:r w:rsidR="00B16962">
        <w:rPr>
          <w:rFonts w:ascii="Arial" w:hAnsi="Arial" w:cs="Arial"/>
        </w:rPr>
        <w:t xml:space="preserve"> in a cell</w:t>
      </w:r>
      <w:r w:rsidR="00082458">
        <w:rPr>
          <w:rFonts w:ascii="Arial" w:hAnsi="Arial" w:cs="Arial"/>
        </w:rPr>
        <w:t xml:space="preserve"> within</w:t>
      </w:r>
      <w:r w:rsidR="00574C06">
        <w:rPr>
          <w:rFonts w:ascii="Arial" w:hAnsi="Arial" w:cs="Arial"/>
        </w:rPr>
        <w:t xml:space="preserve"> </w:t>
      </w:r>
      <w:r w:rsidR="00B16962">
        <w:rPr>
          <w:rFonts w:ascii="Arial" w:hAnsi="Arial" w:cs="Arial"/>
        </w:rPr>
        <w:t xml:space="preserve">the </w:t>
      </w:r>
      <w:r w:rsidR="004543F5">
        <w:rPr>
          <w:rFonts w:ascii="Arial" w:hAnsi="Arial" w:cs="Arial"/>
        </w:rPr>
        <w:t>bandwidth</w:t>
      </w:r>
      <w:r w:rsidR="00B16962">
        <w:rPr>
          <w:rFonts w:ascii="Arial" w:hAnsi="Arial" w:cs="Arial"/>
        </w:rPr>
        <w:t xml:space="preserve"> of </w:t>
      </w:r>
      <w:r w:rsidR="00CB2D5B">
        <w:rPr>
          <w:rFonts w:ascii="Arial" w:hAnsi="Arial" w:cs="Arial"/>
        </w:rPr>
        <w:t>its</w:t>
      </w:r>
      <w:r w:rsidR="00574C06">
        <w:rPr>
          <w:rFonts w:ascii="Arial" w:hAnsi="Arial" w:cs="Arial"/>
        </w:rPr>
        <w:t xml:space="preserve"> active BWP</w:t>
      </w:r>
      <w:r w:rsidR="005A274C">
        <w:rPr>
          <w:rFonts w:ascii="Arial" w:hAnsi="Arial" w:cs="Arial"/>
        </w:rPr>
        <w:t xml:space="preserve">. </w:t>
      </w:r>
      <w:r w:rsidR="00C8796D">
        <w:rPr>
          <w:rFonts w:ascii="Arial" w:hAnsi="Arial" w:cs="Arial"/>
        </w:rPr>
        <w:t>A</w:t>
      </w:r>
      <w:r w:rsidR="005A274C">
        <w:rPr>
          <w:rFonts w:ascii="Arial" w:hAnsi="Arial" w:cs="Arial"/>
        </w:rPr>
        <w:t xml:space="preserve"> consequence of this</w:t>
      </w:r>
      <w:r w:rsidR="00C8796D">
        <w:rPr>
          <w:rFonts w:ascii="Arial" w:hAnsi="Arial" w:cs="Arial"/>
        </w:rPr>
        <w:t xml:space="preserve"> assumption</w:t>
      </w:r>
      <w:r w:rsidR="005A274C">
        <w:rPr>
          <w:rFonts w:ascii="Arial" w:hAnsi="Arial" w:cs="Arial"/>
        </w:rPr>
        <w:t xml:space="preserve"> is that UE does not need to perform</w:t>
      </w:r>
      <w:r w:rsidR="00DF3812">
        <w:rPr>
          <w:rFonts w:ascii="Arial" w:hAnsi="Arial" w:cs="Arial"/>
        </w:rPr>
        <w:t xml:space="preserve"> </w:t>
      </w:r>
      <w:r w:rsidR="000058B7">
        <w:rPr>
          <w:rFonts w:ascii="Arial" w:hAnsi="Arial" w:cs="Arial"/>
        </w:rPr>
        <w:t xml:space="preserve">BWP </w:t>
      </w:r>
      <w:r w:rsidR="00DF3812">
        <w:rPr>
          <w:rFonts w:ascii="Arial" w:hAnsi="Arial" w:cs="Arial"/>
        </w:rPr>
        <w:t>switching</w:t>
      </w:r>
      <w:r w:rsidR="005A274C">
        <w:rPr>
          <w:rFonts w:ascii="Arial" w:hAnsi="Arial" w:cs="Arial"/>
        </w:rPr>
        <w:t xml:space="preserve"> for </w:t>
      </w:r>
      <w:r w:rsidR="007F67C5">
        <w:rPr>
          <w:rFonts w:ascii="Arial" w:hAnsi="Arial" w:cs="Arial"/>
        </w:rPr>
        <w:t>measuring quality of any beam</w:t>
      </w:r>
      <w:r w:rsidR="00C8796D">
        <w:rPr>
          <w:rFonts w:ascii="Arial" w:hAnsi="Arial" w:cs="Arial"/>
        </w:rPr>
        <w:t xml:space="preserve"> according to this proposal</w:t>
      </w:r>
      <w:r w:rsidR="00DF3812">
        <w:rPr>
          <w:rFonts w:ascii="Arial" w:hAnsi="Arial" w:cs="Arial"/>
        </w:rPr>
        <w:t xml:space="preserve">. </w:t>
      </w:r>
    </w:p>
    <w:p w14:paraId="30911761" w14:textId="07705D03" w:rsidR="00857E27" w:rsidRDefault="003D2F06" w:rsidP="005C316C">
      <w:pPr>
        <w:jc w:val="both"/>
        <w:rPr>
          <w:rFonts w:ascii="Arial" w:hAnsi="Arial" w:cs="Arial"/>
        </w:rPr>
      </w:pPr>
      <w:r>
        <w:rPr>
          <w:rFonts w:ascii="Arial" w:hAnsi="Arial" w:cs="Arial"/>
        </w:rPr>
        <w:t>In case of SSB beams,</w:t>
      </w:r>
      <w:r w:rsidR="007F4966">
        <w:rPr>
          <w:rFonts w:ascii="Arial" w:hAnsi="Arial" w:cs="Arial"/>
        </w:rPr>
        <w:t xml:space="preserve"> as mentioned before,</w:t>
      </w:r>
      <w:r>
        <w:rPr>
          <w:rFonts w:ascii="Arial" w:hAnsi="Arial" w:cs="Arial"/>
        </w:rPr>
        <w:t xml:space="preserve"> all </w:t>
      </w:r>
      <w:r w:rsidR="00A575E0">
        <w:rPr>
          <w:rFonts w:ascii="Arial" w:hAnsi="Arial" w:cs="Arial"/>
        </w:rPr>
        <w:t>SSB</w:t>
      </w:r>
      <w:r w:rsidR="0017218B">
        <w:rPr>
          <w:rFonts w:ascii="Arial" w:hAnsi="Arial" w:cs="Arial"/>
        </w:rPr>
        <w:t>s</w:t>
      </w:r>
      <w:r>
        <w:rPr>
          <w:rFonts w:ascii="Arial" w:hAnsi="Arial" w:cs="Arial"/>
        </w:rPr>
        <w:t xml:space="preserve"> </w:t>
      </w:r>
      <w:r w:rsidR="00A575E0">
        <w:rPr>
          <w:rFonts w:ascii="Arial" w:hAnsi="Arial" w:cs="Arial"/>
        </w:rPr>
        <w:t>of the same serving cell are transmitt</w:t>
      </w:r>
      <w:r w:rsidR="0017218B">
        <w:rPr>
          <w:rFonts w:ascii="Arial" w:hAnsi="Arial" w:cs="Arial"/>
        </w:rPr>
        <w:t>ed</w:t>
      </w:r>
      <w:r w:rsidR="00A575E0">
        <w:rPr>
          <w:rFonts w:ascii="Arial" w:hAnsi="Arial" w:cs="Arial"/>
        </w:rPr>
        <w:t xml:space="preserve"> in</w:t>
      </w:r>
      <w:r w:rsidR="0017218B">
        <w:rPr>
          <w:rFonts w:ascii="Arial" w:hAnsi="Arial" w:cs="Arial"/>
        </w:rPr>
        <w:t xml:space="preserve"> a</w:t>
      </w:r>
      <w:r w:rsidR="00A575E0">
        <w:rPr>
          <w:rFonts w:ascii="Arial" w:hAnsi="Arial" w:cs="Arial"/>
        </w:rPr>
        <w:t xml:space="preserve"> TDM fashion within the same frequency </w:t>
      </w:r>
      <w:r w:rsidR="006065FE">
        <w:rPr>
          <w:rFonts w:ascii="Arial" w:hAnsi="Arial" w:cs="Arial"/>
        </w:rPr>
        <w:t>bandwidth.</w:t>
      </w:r>
      <w:r w:rsidR="003E67A6">
        <w:rPr>
          <w:rFonts w:ascii="Arial" w:hAnsi="Arial" w:cs="Arial"/>
        </w:rPr>
        <w:t xml:space="preserve"> </w:t>
      </w:r>
      <w:r w:rsidR="00072AA5">
        <w:rPr>
          <w:rFonts w:ascii="Arial" w:hAnsi="Arial" w:cs="Arial"/>
        </w:rPr>
        <w:t>To fulfill the condition in the proposal</w:t>
      </w:r>
      <w:r w:rsidR="0017218B">
        <w:rPr>
          <w:rFonts w:ascii="Arial" w:hAnsi="Arial" w:cs="Arial"/>
        </w:rPr>
        <w:t>,</w:t>
      </w:r>
      <w:r w:rsidR="00072AA5">
        <w:rPr>
          <w:rFonts w:ascii="Arial" w:hAnsi="Arial" w:cs="Arial"/>
        </w:rPr>
        <w:t xml:space="preserve"> </w:t>
      </w:r>
      <w:r w:rsidR="0026227D">
        <w:rPr>
          <w:rFonts w:ascii="Arial" w:hAnsi="Arial" w:cs="Arial"/>
        </w:rPr>
        <w:t xml:space="preserve">all </w:t>
      </w:r>
      <w:r w:rsidR="007675EB">
        <w:rPr>
          <w:rFonts w:ascii="Arial" w:hAnsi="Arial" w:cs="Arial"/>
        </w:rPr>
        <w:t xml:space="preserve">the </w:t>
      </w:r>
      <w:r w:rsidR="0026227D">
        <w:rPr>
          <w:rFonts w:ascii="Arial" w:hAnsi="Arial" w:cs="Arial"/>
        </w:rPr>
        <w:t xml:space="preserve">BWPs should </w:t>
      </w:r>
      <w:r w:rsidR="00072AA5">
        <w:rPr>
          <w:rFonts w:ascii="Arial" w:hAnsi="Arial" w:cs="Arial"/>
        </w:rPr>
        <w:t>contain</w:t>
      </w:r>
      <w:r w:rsidR="0026227D">
        <w:rPr>
          <w:rFonts w:ascii="Arial" w:hAnsi="Arial" w:cs="Arial"/>
        </w:rPr>
        <w:t xml:space="preserve"> </w:t>
      </w:r>
      <w:r w:rsidR="00F052AE">
        <w:rPr>
          <w:rFonts w:ascii="Arial" w:hAnsi="Arial" w:cs="Arial"/>
        </w:rPr>
        <w:t>the</w:t>
      </w:r>
      <w:r w:rsidR="0026227D">
        <w:rPr>
          <w:rFonts w:ascii="Arial" w:hAnsi="Arial" w:cs="Arial"/>
        </w:rPr>
        <w:t xml:space="preserve"> </w:t>
      </w:r>
      <w:r w:rsidR="007675EB">
        <w:rPr>
          <w:rFonts w:ascii="Arial" w:hAnsi="Arial" w:cs="Arial"/>
        </w:rPr>
        <w:t xml:space="preserve">SSB </w:t>
      </w:r>
      <w:r w:rsidR="0026227D">
        <w:rPr>
          <w:rFonts w:ascii="Arial" w:hAnsi="Arial" w:cs="Arial"/>
        </w:rPr>
        <w:t xml:space="preserve">frequency range </w:t>
      </w:r>
      <w:r w:rsidR="00F052AE">
        <w:rPr>
          <w:rFonts w:ascii="Arial" w:hAnsi="Arial" w:cs="Arial"/>
        </w:rPr>
        <w:t>of</w:t>
      </w:r>
      <w:r w:rsidR="0017218B">
        <w:rPr>
          <w:rFonts w:ascii="Arial" w:hAnsi="Arial" w:cs="Arial"/>
        </w:rPr>
        <w:t xml:space="preserve"> </w:t>
      </w:r>
      <w:r w:rsidR="00072AA5">
        <w:rPr>
          <w:rFonts w:ascii="Arial" w:hAnsi="Arial" w:cs="Arial"/>
        </w:rPr>
        <w:t xml:space="preserve">the corresponding serving </w:t>
      </w:r>
      <w:r w:rsidR="00F052AE">
        <w:rPr>
          <w:rFonts w:ascii="Arial" w:hAnsi="Arial" w:cs="Arial"/>
        </w:rPr>
        <w:t>cell</w:t>
      </w:r>
      <w:r w:rsidR="0017218B">
        <w:rPr>
          <w:rFonts w:ascii="Arial" w:hAnsi="Arial" w:cs="Arial"/>
        </w:rPr>
        <w:t>. T</w:t>
      </w:r>
      <w:r w:rsidR="0026227D">
        <w:rPr>
          <w:rFonts w:ascii="Arial" w:hAnsi="Arial" w:cs="Arial"/>
        </w:rPr>
        <w:t xml:space="preserve">his </w:t>
      </w:r>
      <w:r w:rsidR="0017218B">
        <w:rPr>
          <w:rFonts w:ascii="Arial" w:hAnsi="Arial" w:cs="Arial"/>
        </w:rPr>
        <w:t>is</w:t>
      </w:r>
      <w:r w:rsidR="00072AA5">
        <w:rPr>
          <w:rFonts w:ascii="Arial" w:hAnsi="Arial" w:cs="Arial"/>
        </w:rPr>
        <w:t xml:space="preserve"> not in accordance with</w:t>
      </w:r>
      <w:r w:rsidR="0026227D">
        <w:rPr>
          <w:rFonts w:ascii="Arial" w:hAnsi="Arial" w:cs="Arial"/>
        </w:rPr>
        <w:t xml:space="preserve"> the FRF&gt;1 scenario in NTN</w:t>
      </w:r>
      <w:r w:rsidR="007675EB">
        <w:rPr>
          <w:rFonts w:ascii="Arial" w:hAnsi="Arial" w:cs="Arial"/>
        </w:rPr>
        <w:t xml:space="preserve"> where</w:t>
      </w:r>
      <w:r w:rsidR="0026227D">
        <w:rPr>
          <w:rFonts w:ascii="Arial" w:hAnsi="Arial" w:cs="Arial"/>
        </w:rPr>
        <w:t xml:space="preserve"> the </w:t>
      </w:r>
      <w:r w:rsidR="007675EB">
        <w:rPr>
          <w:rFonts w:ascii="Arial" w:hAnsi="Arial" w:cs="Arial"/>
        </w:rPr>
        <w:t xml:space="preserve">different </w:t>
      </w:r>
      <w:r w:rsidR="0026227D">
        <w:rPr>
          <w:rFonts w:ascii="Arial" w:hAnsi="Arial" w:cs="Arial"/>
        </w:rPr>
        <w:t xml:space="preserve">BWPs </w:t>
      </w:r>
      <w:r w:rsidR="00A86BAC">
        <w:rPr>
          <w:rFonts w:ascii="Arial" w:hAnsi="Arial" w:cs="Arial"/>
        </w:rPr>
        <w:t xml:space="preserve">are </w:t>
      </w:r>
      <w:r w:rsidR="003302C3">
        <w:rPr>
          <w:rFonts w:ascii="Arial" w:hAnsi="Arial" w:cs="Arial"/>
        </w:rPr>
        <w:t>configured to be</w:t>
      </w:r>
      <w:r w:rsidR="0026227D">
        <w:rPr>
          <w:rFonts w:ascii="Arial" w:hAnsi="Arial" w:cs="Arial"/>
        </w:rPr>
        <w:t xml:space="preserve"> non-overlapping</w:t>
      </w:r>
      <w:r w:rsidR="003302C3">
        <w:rPr>
          <w:rFonts w:ascii="Arial" w:hAnsi="Arial" w:cs="Arial"/>
        </w:rPr>
        <w:t xml:space="preserve"> in frequency</w:t>
      </w:r>
      <w:r w:rsidR="00072AA5">
        <w:rPr>
          <w:rFonts w:ascii="Arial" w:hAnsi="Arial" w:cs="Arial"/>
        </w:rPr>
        <w:t xml:space="preserve"> domain</w:t>
      </w:r>
      <w:r w:rsidR="007675EB">
        <w:rPr>
          <w:rFonts w:ascii="Arial" w:hAnsi="Arial" w:cs="Arial"/>
        </w:rPr>
        <w:t>.</w:t>
      </w:r>
      <w:r w:rsidR="0026227D">
        <w:rPr>
          <w:rFonts w:ascii="Arial" w:hAnsi="Arial" w:cs="Arial"/>
        </w:rPr>
        <w:t xml:space="preserve"> </w:t>
      </w:r>
      <w:r w:rsidR="00072AA5">
        <w:rPr>
          <w:rFonts w:ascii="Arial" w:hAnsi="Arial" w:cs="Arial"/>
        </w:rPr>
        <w:t>One</w:t>
      </w:r>
      <w:r w:rsidR="003302C3">
        <w:rPr>
          <w:rFonts w:ascii="Arial" w:hAnsi="Arial" w:cs="Arial"/>
        </w:rPr>
        <w:t xml:space="preserve"> solution to this</w:t>
      </w:r>
      <w:r w:rsidR="00072AA5">
        <w:rPr>
          <w:rFonts w:ascii="Arial" w:hAnsi="Arial" w:cs="Arial"/>
        </w:rPr>
        <w:t xml:space="preserve"> problem, based on current specification,</w:t>
      </w:r>
      <w:r w:rsidR="003302C3">
        <w:rPr>
          <w:rFonts w:ascii="Arial" w:hAnsi="Arial" w:cs="Arial"/>
        </w:rPr>
        <w:t xml:space="preserve"> is </w:t>
      </w:r>
      <w:r w:rsidR="00072AA5">
        <w:rPr>
          <w:rFonts w:ascii="Arial" w:hAnsi="Arial" w:cs="Arial"/>
        </w:rPr>
        <w:t>to configure</w:t>
      </w:r>
      <w:r w:rsidR="003302C3">
        <w:rPr>
          <w:rFonts w:ascii="Arial" w:hAnsi="Arial" w:cs="Arial"/>
        </w:rPr>
        <w:t xml:space="preserve"> non</w:t>
      </w:r>
      <w:r w:rsidR="00002791">
        <w:rPr>
          <w:rFonts w:ascii="Arial" w:hAnsi="Arial" w:cs="Arial"/>
        </w:rPr>
        <w:t>-cell defining SSBs within each BWP. However, this is not supported in the current specification for L1 measurement (although supported for L3</w:t>
      </w:r>
      <w:r w:rsidR="00A86BAC">
        <w:rPr>
          <w:rFonts w:ascii="Arial" w:hAnsi="Arial" w:cs="Arial"/>
        </w:rPr>
        <w:t xml:space="preserve"> measurement</w:t>
      </w:r>
      <w:r w:rsidR="00002791">
        <w:rPr>
          <w:rFonts w:ascii="Arial" w:hAnsi="Arial" w:cs="Arial"/>
        </w:rPr>
        <w:t>)</w:t>
      </w:r>
      <w:r w:rsidR="003D55F4">
        <w:rPr>
          <w:rFonts w:ascii="Arial" w:hAnsi="Arial" w:cs="Arial"/>
        </w:rPr>
        <w:t>.</w:t>
      </w:r>
      <w:r w:rsidR="00002791">
        <w:rPr>
          <w:rFonts w:ascii="Arial" w:hAnsi="Arial" w:cs="Arial"/>
        </w:rPr>
        <w:t xml:space="preserve"> </w:t>
      </w:r>
      <w:r w:rsidR="003D55F4">
        <w:rPr>
          <w:rFonts w:ascii="Arial" w:hAnsi="Arial" w:cs="Arial"/>
        </w:rPr>
        <w:t>A</w:t>
      </w:r>
      <w:r w:rsidR="00002791">
        <w:rPr>
          <w:rFonts w:ascii="Arial" w:hAnsi="Arial" w:cs="Arial"/>
        </w:rPr>
        <w:t>lso</w:t>
      </w:r>
      <w:r w:rsidR="003D55F4">
        <w:rPr>
          <w:rFonts w:ascii="Arial" w:hAnsi="Arial" w:cs="Arial"/>
        </w:rPr>
        <w:t>,</w:t>
      </w:r>
      <w:r w:rsidR="00002791">
        <w:rPr>
          <w:rFonts w:ascii="Arial" w:hAnsi="Arial" w:cs="Arial"/>
        </w:rPr>
        <w:t xml:space="preserve"> this might be a</w:t>
      </w:r>
      <w:r w:rsidR="00B14EFB">
        <w:rPr>
          <w:rFonts w:ascii="Arial" w:hAnsi="Arial" w:cs="Arial"/>
        </w:rPr>
        <w:t xml:space="preserve"> considerable</w:t>
      </w:r>
      <w:r w:rsidR="00002791">
        <w:rPr>
          <w:rFonts w:ascii="Arial" w:hAnsi="Arial" w:cs="Arial"/>
        </w:rPr>
        <w:t xml:space="preserve"> </w:t>
      </w:r>
      <w:r w:rsidR="00B14EFB">
        <w:rPr>
          <w:rFonts w:ascii="Arial" w:hAnsi="Arial" w:cs="Arial"/>
        </w:rPr>
        <w:t xml:space="preserve">overhead for </w:t>
      </w:r>
      <w:r w:rsidR="00857E27">
        <w:rPr>
          <w:rFonts w:ascii="Arial" w:hAnsi="Arial" w:cs="Arial"/>
        </w:rPr>
        <w:t>intra-cell L1 measurements</w:t>
      </w:r>
      <w:r w:rsidR="00072AA5">
        <w:rPr>
          <w:rFonts w:ascii="Arial" w:hAnsi="Arial" w:cs="Arial"/>
        </w:rPr>
        <w:t xml:space="preserve"> (wh</w:t>
      </w:r>
      <w:r w:rsidR="003D55F4">
        <w:rPr>
          <w:rFonts w:ascii="Arial" w:hAnsi="Arial" w:cs="Arial"/>
        </w:rPr>
        <w:t>ich</w:t>
      </w:r>
      <w:r w:rsidR="00072AA5">
        <w:rPr>
          <w:rFonts w:ascii="Arial" w:hAnsi="Arial" w:cs="Arial"/>
        </w:rPr>
        <w:t xml:space="preserve"> can be justified for </w:t>
      </w:r>
      <w:r w:rsidR="00523B04">
        <w:rPr>
          <w:rFonts w:ascii="Arial" w:hAnsi="Arial" w:cs="Arial"/>
        </w:rPr>
        <w:t>L3 based measurement)</w:t>
      </w:r>
      <w:r w:rsidR="00857E27">
        <w:rPr>
          <w:rFonts w:ascii="Arial" w:hAnsi="Arial" w:cs="Arial"/>
        </w:rPr>
        <w:t>.</w:t>
      </w:r>
      <w:r w:rsidR="00B14EFB">
        <w:rPr>
          <w:rFonts w:ascii="Arial" w:hAnsi="Arial" w:cs="Arial"/>
        </w:rPr>
        <w:t xml:space="preserve"> </w:t>
      </w:r>
    </w:p>
    <w:p w14:paraId="6D2CC973" w14:textId="7CACFAF4" w:rsidR="00857E27" w:rsidRDefault="00857E27" w:rsidP="005C316C">
      <w:pPr>
        <w:jc w:val="both"/>
        <w:rPr>
          <w:rFonts w:ascii="Arial" w:hAnsi="Arial" w:cs="Arial"/>
        </w:rPr>
      </w:pPr>
      <w:r>
        <w:rPr>
          <w:rFonts w:ascii="Arial" w:hAnsi="Arial" w:cs="Arial"/>
        </w:rPr>
        <w:t>In case of</w:t>
      </w:r>
      <w:r w:rsidR="006065FE">
        <w:rPr>
          <w:rFonts w:ascii="Arial" w:hAnsi="Arial" w:cs="Arial"/>
        </w:rPr>
        <w:t xml:space="preserve"> CSI-RS, </w:t>
      </w:r>
      <w:r>
        <w:rPr>
          <w:rFonts w:ascii="Arial" w:hAnsi="Arial" w:cs="Arial"/>
        </w:rPr>
        <w:t>i</w:t>
      </w:r>
      <w:r w:rsidR="006065FE">
        <w:rPr>
          <w:rFonts w:ascii="Arial" w:hAnsi="Arial" w:cs="Arial"/>
        </w:rPr>
        <w:t>t is up to the gNB to configure the CSI-RS resources</w:t>
      </w:r>
      <w:r w:rsidR="00FE22B1">
        <w:rPr>
          <w:rFonts w:ascii="Arial" w:hAnsi="Arial" w:cs="Arial"/>
        </w:rPr>
        <w:t xml:space="preserve"> for</w:t>
      </w:r>
      <w:r>
        <w:rPr>
          <w:rFonts w:ascii="Arial" w:hAnsi="Arial" w:cs="Arial"/>
        </w:rPr>
        <w:t xml:space="preserve"> all </w:t>
      </w:r>
      <w:r w:rsidR="00C568AC">
        <w:rPr>
          <w:rFonts w:ascii="Arial" w:hAnsi="Arial" w:cs="Arial"/>
        </w:rPr>
        <w:t xml:space="preserve">corresponding beams within </w:t>
      </w:r>
      <w:r w:rsidR="00F74708">
        <w:rPr>
          <w:rFonts w:ascii="Arial" w:hAnsi="Arial" w:cs="Arial"/>
        </w:rPr>
        <w:t>each</w:t>
      </w:r>
      <w:r w:rsidR="00C568AC">
        <w:rPr>
          <w:rFonts w:ascii="Arial" w:hAnsi="Arial" w:cs="Arial"/>
        </w:rPr>
        <w:t xml:space="preserve"> BWP</w:t>
      </w:r>
      <w:r>
        <w:rPr>
          <w:rFonts w:ascii="Arial" w:hAnsi="Arial" w:cs="Arial"/>
        </w:rPr>
        <w:t>.</w:t>
      </w:r>
      <w:r w:rsidR="00FE22B1">
        <w:rPr>
          <w:rFonts w:ascii="Arial" w:hAnsi="Arial" w:cs="Arial"/>
        </w:rPr>
        <w:t xml:space="preserve"> So</w:t>
      </w:r>
      <w:r w:rsidR="00A86BAC">
        <w:rPr>
          <w:rFonts w:ascii="Arial" w:hAnsi="Arial" w:cs="Arial"/>
        </w:rPr>
        <w:t>,</w:t>
      </w:r>
      <w:r w:rsidR="00FE22B1">
        <w:rPr>
          <w:rFonts w:ascii="Arial" w:hAnsi="Arial" w:cs="Arial"/>
        </w:rPr>
        <w:t xml:space="preserve"> within each active BWP</w:t>
      </w:r>
      <w:r w:rsidR="0017218B">
        <w:rPr>
          <w:rFonts w:ascii="Arial" w:hAnsi="Arial" w:cs="Arial"/>
        </w:rPr>
        <w:t>,</w:t>
      </w:r>
      <w:r w:rsidR="00FE22B1">
        <w:rPr>
          <w:rFonts w:ascii="Arial" w:hAnsi="Arial" w:cs="Arial"/>
        </w:rPr>
        <w:t xml:space="preserve"> UE can perform measurements on all beams.</w:t>
      </w:r>
      <w:r w:rsidR="00C568AC">
        <w:rPr>
          <w:rFonts w:ascii="Arial" w:hAnsi="Arial" w:cs="Arial"/>
        </w:rPr>
        <w:t xml:space="preserve"> </w:t>
      </w:r>
    </w:p>
    <w:p w14:paraId="202BA735" w14:textId="20F34FFD" w:rsidR="009A0E07" w:rsidRDefault="003D55F4" w:rsidP="00425917">
      <w:pPr>
        <w:pStyle w:val="Observation"/>
      </w:pPr>
      <w:bookmarkStart w:id="13" w:name="_Toc83986721"/>
      <w:r>
        <w:t xml:space="preserve">The </w:t>
      </w:r>
      <w:r w:rsidR="009A0E07">
        <w:t>“</w:t>
      </w:r>
      <w:r w:rsidR="009A0E07" w:rsidRPr="009A0E07">
        <w:t>beam measurement on multiple RS associated with different beams within a same active BWP</w:t>
      </w:r>
      <w:r w:rsidR="009A0E07">
        <w:t>” is already supported by the specifications.</w:t>
      </w:r>
      <w:bookmarkEnd w:id="13"/>
    </w:p>
    <w:p w14:paraId="4242FB94" w14:textId="77777777" w:rsidR="00A86BAC" w:rsidRDefault="00BC767E" w:rsidP="005C316C">
      <w:pPr>
        <w:jc w:val="both"/>
        <w:rPr>
          <w:rFonts w:ascii="Arial" w:hAnsi="Arial" w:cs="Arial"/>
        </w:rPr>
      </w:pPr>
      <w:r w:rsidRPr="00BC767E">
        <w:rPr>
          <w:rFonts w:ascii="Arial" w:hAnsi="Arial" w:cs="Arial"/>
        </w:rPr>
        <w:t xml:space="preserve">Our interpretation of the statement in Alt-2 is that UE should be able to perform measurements on all RSs corresponding to different beams across different BWPs (including within the BWPs outside its active BWP), without the need of switching its active BWP. This is not supported in current specification for L1 measurement. </w:t>
      </w:r>
      <w:r w:rsidR="00A86BAC">
        <w:rPr>
          <w:rFonts w:ascii="Arial" w:hAnsi="Arial" w:cs="Arial"/>
        </w:rPr>
        <w:t>S</w:t>
      </w:r>
      <w:r w:rsidRPr="00BC767E">
        <w:rPr>
          <w:rFonts w:ascii="Arial" w:hAnsi="Arial" w:cs="Arial"/>
        </w:rPr>
        <w:t>ince the BWPs are not overlapping</w:t>
      </w:r>
      <w:r w:rsidR="00A86BAC">
        <w:rPr>
          <w:rFonts w:ascii="Arial" w:hAnsi="Arial" w:cs="Arial"/>
        </w:rPr>
        <w:t xml:space="preserve"> </w:t>
      </w:r>
      <w:r w:rsidR="00A86BAC" w:rsidRPr="00BC767E">
        <w:rPr>
          <w:rFonts w:ascii="Arial" w:hAnsi="Arial" w:cs="Arial"/>
        </w:rPr>
        <w:t>in FRF&gt;1 scenario</w:t>
      </w:r>
      <w:r w:rsidRPr="00BC767E">
        <w:rPr>
          <w:rFonts w:ascii="Arial" w:hAnsi="Arial" w:cs="Arial"/>
        </w:rPr>
        <w:t>, it may require configuring measurement gaps, for both CSI-RS and SSB. Since beam switching is based on L1 measurements, this requires specification changes. Therefore, we should compare the extent of overhead and efficiency of introducing gaps for L1 measurements with the BWP switching based method. Also, the extent of specification work should be evaluated, e.g., CSI-RS resource setting, report configuration, etc.</w:t>
      </w:r>
      <w:r>
        <w:rPr>
          <w:rFonts w:ascii="Arial" w:hAnsi="Arial" w:cs="Arial"/>
        </w:rPr>
        <w:t xml:space="preserve"> </w:t>
      </w:r>
    </w:p>
    <w:p w14:paraId="4D4FB97D" w14:textId="68F4CBAF" w:rsidR="00BC767E" w:rsidRPr="00DB4105" w:rsidRDefault="00BC767E" w:rsidP="005C316C">
      <w:pPr>
        <w:pStyle w:val="Observation"/>
      </w:pPr>
      <w:bookmarkStart w:id="14" w:name="_Toc83986722"/>
      <w:r w:rsidRPr="00A86BAC">
        <w:rPr>
          <w:rFonts w:cs="Arial"/>
        </w:rPr>
        <w:t>The “beam measurement on multiple RS associated with different beams within across BWPs” is supported in the specifications</w:t>
      </w:r>
      <w:r w:rsidR="00557AA9">
        <w:rPr>
          <w:rFonts w:cs="Arial"/>
        </w:rPr>
        <w:t xml:space="preserve"> by means of BWP switching between different BWPs</w:t>
      </w:r>
      <w:r w:rsidRPr="00A86BAC">
        <w:rPr>
          <w:rFonts w:cs="Arial"/>
        </w:rPr>
        <w:t>.</w:t>
      </w:r>
      <w:bookmarkEnd w:id="14"/>
      <w:r w:rsidR="00217BF9">
        <w:rPr>
          <w:rFonts w:cs="Arial"/>
        </w:rPr>
        <w:t xml:space="preserve"> </w:t>
      </w:r>
    </w:p>
    <w:p w14:paraId="6A7C5C74" w14:textId="58B14344" w:rsidR="00217BF9" w:rsidRPr="00A86BAC" w:rsidRDefault="00217BF9" w:rsidP="005C316C">
      <w:pPr>
        <w:pStyle w:val="Observation"/>
      </w:pPr>
      <w:bookmarkStart w:id="15" w:name="_Toc83986723"/>
      <w:r>
        <w:rPr>
          <w:rFonts w:cs="Arial"/>
        </w:rPr>
        <w:lastRenderedPageBreak/>
        <w:t>Measurements on multiple RS across BWPs without BWP switching is not a</w:t>
      </w:r>
      <w:r w:rsidR="002F3F7D">
        <w:rPr>
          <w:rFonts w:cs="Arial"/>
        </w:rPr>
        <w:t xml:space="preserve">n essential </w:t>
      </w:r>
      <w:r>
        <w:rPr>
          <w:rFonts w:cs="Arial"/>
        </w:rPr>
        <w:t xml:space="preserve">feature for realizing </w:t>
      </w:r>
      <w:r w:rsidR="002F3F7D">
        <w:rPr>
          <w:rFonts w:cs="Arial"/>
        </w:rPr>
        <w:t xml:space="preserve">the </w:t>
      </w:r>
      <w:r>
        <w:rPr>
          <w:rFonts w:cs="Arial"/>
        </w:rPr>
        <w:t>FRF&gt;1 scenario for NTN</w:t>
      </w:r>
      <w:r w:rsidR="009B3B8F">
        <w:rPr>
          <w:rFonts w:cs="Arial"/>
        </w:rPr>
        <w:t>.</w:t>
      </w:r>
      <w:bookmarkEnd w:id="15"/>
    </w:p>
    <w:p w14:paraId="55BF20E9" w14:textId="59F9C8B3" w:rsidR="005B3366" w:rsidRDefault="005B3366" w:rsidP="005C316C">
      <w:pPr>
        <w:jc w:val="both"/>
        <w:rPr>
          <w:rFonts w:ascii="Arial" w:hAnsi="Arial" w:cs="Arial"/>
        </w:rPr>
      </w:pPr>
      <w:r w:rsidRPr="005B3366">
        <w:rPr>
          <w:rFonts w:ascii="Arial" w:hAnsi="Arial" w:cs="Arial"/>
        </w:rPr>
        <w:t>On</w:t>
      </w:r>
      <w:r w:rsidR="00A86BAC">
        <w:rPr>
          <w:rFonts w:ascii="Arial" w:hAnsi="Arial" w:cs="Arial"/>
        </w:rPr>
        <w:t xml:space="preserve"> additional</w:t>
      </w:r>
      <w:r w:rsidRPr="005B3366">
        <w:rPr>
          <w:rFonts w:ascii="Arial" w:hAnsi="Arial" w:cs="Arial"/>
        </w:rPr>
        <w:t xml:space="preserve"> issue with </w:t>
      </w:r>
      <w:r w:rsidR="00A86BAC">
        <w:rPr>
          <w:rFonts w:ascii="Arial" w:hAnsi="Arial" w:cs="Arial"/>
        </w:rPr>
        <w:t xml:space="preserve">the </w:t>
      </w:r>
      <w:r w:rsidRPr="005B3366">
        <w:rPr>
          <w:rFonts w:ascii="Arial" w:hAnsi="Arial" w:cs="Arial"/>
        </w:rPr>
        <w:t>proposal in Alt-2 is that, if introduced in Rel-17, beam measurement on multiple RS</w:t>
      </w:r>
      <w:r w:rsidR="00A86BAC">
        <w:rPr>
          <w:rFonts w:ascii="Arial" w:hAnsi="Arial" w:cs="Arial"/>
        </w:rPr>
        <w:t>s</w:t>
      </w:r>
      <w:r w:rsidRPr="005B3366">
        <w:rPr>
          <w:rFonts w:ascii="Arial" w:hAnsi="Arial" w:cs="Arial"/>
        </w:rPr>
        <w:t xml:space="preserve"> associated with different beams within across BWPs will most likely will be an optional UE capability. Therefore</w:t>
      </w:r>
      <w:r w:rsidR="00BC767E">
        <w:rPr>
          <w:rFonts w:ascii="Arial" w:hAnsi="Arial" w:cs="Arial"/>
        </w:rPr>
        <w:t>,</w:t>
      </w:r>
      <w:r w:rsidRPr="005B3366">
        <w:rPr>
          <w:rFonts w:ascii="Arial" w:hAnsi="Arial" w:cs="Arial"/>
        </w:rPr>
        <w:t xml:space="preserve"> there would be some UEs that support this </w:t>
      </w:r>
      <w:r w:rsidR="00BC767E" w:rsidRPr="005B3366">
        <w:rPr>
          <w:rFonts w:ascii="Arial" w:hAnsi="Arial" w:cs="Arial"/>
        </w:rPr>
        <w:t>feature</w:t>
      </w:r>
      <w:r w:rsidRPr="005B3366">
        <w:rPr>
          <w:rFonts w:ascii="Arial" w:hAnsi="Arial" w:cs="Arial"/>
        </w:rPr>
        <w:t xml:space="preserve"> and some that do not support it. Then network cannot rely on the feature for deployment of multiple beam</w:t>
      </w:r>
      <w:r w:rsidR="00BC767E">
        <w:rPr>
          <w:rFonts w:ascii="Arial" w:hAnsi="Arial" w:cs="Arial"/>
        </w:rPr>
        <w:t>s</w:t>
      </w:r>
      <w:r w:rsidRPr="005B3366">
        <w:rPr>
          <w:rFonts w:ascii="Arial" w:hAnsi="Arial" w:cs="Arial"/>
        </w:rPr>
        <w:t xml:space="preserve"> per cell with FRF&gt;1, as network would need to tailor the deployment to the least capable UEs.</w:t>
      </w:r>
    </w:p>
    <w:p w14:paraId="6F8782C6" w14:textId="224BC84E" w:rsidR="003F4A9C" w:rsidRDefault="00F54185" w:rsidP="00336C5D">
      <w:pPr>
        <w:pStyle w:val="Observation"/>
      </w:pPr>
      <w:bookmarkStart w:id="16" w:name="_Toc83986724"/>
      <w:r w:rsidRPr="00F54185">
        <w:t>The</w:t>
      </w:r>
      <w:r w:rsidR="00A86BAC">
        <w:t xml:space="preserve"> feature of</w:t>
      </w:r>
      <w:r w:rsidRPr="00F54185">
        <w:t xml:space="preserve"> “beam measurement on multiple RS associated with different beams within across BWPs”</w:t>
      </w:r>
      <w:r>
        <w:t>, if introduced, mostly likely would be an optional UE capability</w:t>
      </w:r>
      <w:r w:rsidR="008B7872">
        <w:t>.</w:t>
      </w:r>
      <w:r w:rsidR="00A86BAC" w:rsidRPr="005B3366">
        <w:rPr>
          <w:rFonts w:cs="Arial"/>
        </w:rPr>
        <w:t xml:space="preserve"> </w:t>
      </w:r>
      <w:r w:rsidR="00A86BAC">
        <w:rPr>
          <w:rFonts w:cs="Arial"/>
        </w:rPr>
        <w:t>The n</w:t>
      </w:r>
      <w:r w:rsidR="00A86BAC" w:rsidRPr="005B3366">
        <w:rPr>
          <w:rFonts w:cs="Arial"/>
        </w:rPr>
        <w:t>etwork cannot rely on the feature for deployment of multiple beam</w:t>
      </w:r>
      <w:r w:rsidR="00A86BAC">
        <w:rPr>
          <w:rFonts w:cs="Arial"/>
        </w:rPr>
        <w:t>s</w:t>
      </w:r>
      <w:r w:rsidR="00A86BAC" w:rsidRPr="005B3366">
        <w:rPr>
          <w:rFonts w:cs="Arial"/>
        </w:rPr>
        <w:t xml:space="preserve"> per cell with FRF&gt;1, as network would need to tailor the deployment to the least capable UEs.</w:t>
      </w:r>
      <w:bookmarkEnd w:id="16"/>
    </w:p>
    <w:p w14:paraId="1D32FA7F" w14:textId="41D7912A" w:rsidR="002F3F7D" w:rsidRPr="00B332D4" w:rsidRDefault="009A340D" w:rsidP="002F3F7D">
      <w:pPr>
        <w:jc w:val="both"/>
        <w:rPr>
          <w:rFonts w:ascii="Arial" w:hAnsi="Arial" w:cs="Arial"/>
        </w:rPr>
      </w:pPr>
      <w:r w:rsidRPr="009A340D">
        <w:rPr>
          <w:rFonts w:ascii="Arial" w:hAnsi="Arial" w:cs="Arial"/>
        </w:rPr>
        <w:t>Based on above discussion</w:t>
      </w:r>
      <w:r w:rsidR="003D55F4">
        <w:rPr>
          <w:rFonts w:ascii="Arial" w:hAnsi="Arial" w:cs="Arial"/>
        </w:rPr>
        <w:t>,</w:t>
      </w:r>
      <w:r w:rsidRPr="009A340D">
        <w:rPr>
          <w:rFonts w:ascii="Arial" w:hAnsi="Arial" w:cs="Arial"/>
        </w:rPr>
        <w:t xml:space="preserve"> we have </w:t>
      </w:r>
      <w:r w:rsidR="009E419E">
        <w:rPr>
          <w:rFonts w:ascii="Arial" w:hAnsi="Arial" w:cs="Arial"/>
        </w:rPr>
        <w:t xml:space="preserve">the </w:t>
      </w:r>
      <w:r w:rsidRPr="009A340D">
        <w:rPr>
          <w:rFonts w:ascii="Arial" w:hAnsi="Arial" w:cs="Arial"/>
        </w:rPr>
        <w:t>following proposal:</w:t>
      </w:r>
    </w:p>
    <w:p w14:paraId="3ACC5BE8" w14:textId="4357BDC2" w:rsidR="002F3F7D" w:rsidRDefault="002F3F7D" w:rsidP="002F3F7D">
      <w:pPr>
        <w:pStyle w:val="Proposal"/>
      </w:pPr>
      <w:bookmarkStart w:id="17" w:name="_Toc83986737"/>
      <w:r w:rsidRPr="000F7FD8">
        <w:t xml:space="preserve">Regarding </w:t>
      </w:r>
      <w:r>
        <w:t>BWP measurement enhancements for NTN beam management</w:t>
      </w:r>
      <w:r w:rsidRPr="000F7FD8">
        <w:t xml:space="preserve">, </w:t>
      </w:r>
      <w:r w:rsidRPr="008D4353">
        <w:t xml:space="preserve">the following </w:t>
      </w:r>
      <w:r>
        <w:t>aspects need to be studied first</w:t>
      </w:r>
      <w:r w:rsidRPr="008D4353">
        <w:t>:</w:t>
      </w:r>
      <w:bookmarkEnd w:id="17"/>
    </w:p>
    <w:p w14:paraId="4B72B2DF" w14:textId="77777777" w:rsidR="002D08AC" w:rsidRPr="000F7FD8" w:rsidRDefault="002D08AC" w:rsidP="009618EB">
      <w:pPr>
        <w:pStyle w:val="Proposal"/>
        <w:numPr>
          <w:ilvl w:val="0"/>
          <w:numId w:val="25"/>
        </w:numPr>
      </w:pPr>
      <w:bookmarkStart w:id="18" w:name="_Toc83986738"/>
      <w:r w:rsidRPr="000F7FD8">
        <w:t>The exten</w:t>
      </w:r>
      <w:r w:rsidR="003D55F4">
        <w:t>t</w:t>
      </w:r>
      <w:r w:rsidRPr="000F7FD8">
        <w:t xml:space="preserve"> of specification impact </w:t>
      </w:r>
      <w:r w:rsidR="00644709" w:rsidRPr="000F7FD8">
        <w:t>that is required to introduce</w:t>
      </w:r>
      <w:r w:rsidR="003D55F4">
        <w:t xml:space="preserve"> measurement</w:t>
      </w:r>
      <w:r w:rsidR="00644709" w:rsidRPr="000F7FD8">
        <w:t xml:space="preserve"> gaps for L1 measurements</w:t>
      </w:r>
      <w:r w:rsidR="005A435D" w:rsidRPr="000F7FD8">
        <w:t xml:space="preserve"> should be evaluated</w:t>
      </w:r>
      <w:r w:rsidR="00644709" w:rsidRPr="000F7FD8">
        <w:t>.</w:t>
      </w:r>
      <w:bookmarkEnd w:id="18"/>
    </w:p>
    <w:p w14:paraId="161FAB75" w14:textId="77777777" w:rsidR="004E59A7" w:rsidRDefault="00196E0C" w:rsidP="009618EB">
      <w:pPr>
        <w:pStyle w:val="Proposal"/>
        <w:numPr>
          <w:ilvl w:val="0"/>
          <w:numId w:val="25"/>
        </w:numPr>
      </w:pPr>
      <w:bookmarkStart w:id="19" w:name="_Toc83986739"/>
      <w:r>
        <w:t>Comparison</w:t>
      </w:r>
      <w:r w:rsidR="00036CBD" w:rsidRPr="000F7FD8">
        <w:t xml:space="preserve"> </w:t>
      </w:r>
      <w:r>
        <w:t>between</w:t>
      </w:r>
      <w:r w:rsidR="00036CBD" w:rsidRPr="000F7FD8">
        <w:t xml:space="preserve"> </w:t>
      </w:r>
      <w:r w:rsidR="00863B00" w:rsidRPr="000F7FD8">
        <w:t>introducing</w:t>
      </w:r>
      <w:r w:rsidR="003D55F4">
        <w:t xml:space="preserve"> measurement</w:t>
      </w:r>
      <w:r w:rsidR="00863B00" w:rsidRPr="000F7FD8">
        <w:t xml:space="preserve"> gaps for L1 measurements</w:t>
      </w:r>
      <w:r>
        <w:t xml:space="preserve"> and</w:t>
      </w:r>
      <w:r w:rsidR="002421A6" w:rsidRPr="000F7FD8">
        <w:t xml:space="preserve"> </w:t>
      </w:r>
      <w:r>
        <w:t xml:space="preserve">utilizing </w:t>
      </w:r>
      <w:r w:rsidR="002421A6" w:rsidRPr="000F7FD8">
        <w:t>BWP switching</w:t>
      </w:r>
      <w:r w:rsidR="009E419E">
        <w:t xml:space="preserve"> to perform </w:t>
      </w:r>
      <w:r w:rsidR="002F7E5F">
        <w:t xml:space="preserve">the </w:t>
      </w:r>
      <w:r w:rsidR="009E419E">
        <w:t>measurement</w:t>
      </w:r>
      <w:r>
        <w:t>s</w:t>
      </w:r>
      <w:r w:rsidR="002421A6" w:rsidRPr="000F7FD8">
        <w:t>.</w:t>
      </w:r>
      <w:bookmarkEnd w:id="19"/>
    </w:p>
    <w:p w14:paraId="6FE86DF2" w14:textId="07835FD7" w:rsidR="002F3F7D" w:rsidRDefault="00196E0C" w:rsidP="00B332D4">
      <w:pPr>
        <w:pStyle w:val="Proposal"/>
        <w:numPr>
          <w:ilvl w:val="0"/>
          <w:numId w:val="25"/>
        </w:numPr>
      </w:pPr>
      <w:bookmarkStart w:id="20" w:name="_Toc83986740"/>
      <w:r>
        <w:t>UE capability for supporting L1</w:t>
      </w:r>
      <w:r w:rsidRPr="00196E0C">
        <w:t xml:space="preserve"> measurement</w:t>
      </w:r>
      <w:r>
        <w:t>s</w:t>
      </w:r>
      <w:r w:rsidRPr="00196E0C">
        <w:t xml:space="preserve"> </w:t>
      </w:r>
      <w:r>
        <w:t xml:space="preserve">outside active </w:t>
      </w:r>
      <w:r w:rsidRPr="00196E0C">
        <w:t>BWP</w:t>
      </w:r>
      <w:bookmarkEnd w:id="20"/>
    </w:p>
    <w:p w14:paraId="21DFDB0E" w14:textId="19A61673" w:rsidR="002F3F7D" w:rsidRDefault="002F3F7D" w:rsidP="002F3F7D">
      <w:pPr>
        <w:jc w:val="both"/>
        <w:rPr>
          <w:rFonts w:ascii="Arial" w:hAnsi="Arial" w:cs="Arial"/>
        </w:rPr>
      </w:pPr>
      <w:r>
        <w:rPr>
          <w:rFonts w:ascii="Arial" w:hAnsi="Arial" w:cs="Arial"/>
        </w:rPr>
        <w:t xml:space="preserve">From the observations we provided so far, </w:t>
      </w:r>
      <w:proofErr w:type="gramStart"/>
      <w:r>
        <w:rPr>
          <w:rFonts w:ascii="Arial" w:hAnsi="Arial" w:cs="Arial"/>
        </w:rPr>
        <w:t>it is clear that introducing</w:t>
      </w:r>
      <w:proofErr w:type="gramEnd"/>
      <w:r>
        <w:rPr>
          <w:rFonts w:ascii="Arial" w:hAnsi="Arial" w:cs="Arial"/>
        </w:rPr>
        <w:t xml:space="preserve"> any BWP measurement enhancements for NTN beam management requires careful and detailed investigation. Given limited time left for Rel-17 work item, it appears difficult to complete such proper study. Therefore, we suggest that any BWP measurement enhancements for NTN beam management be handled in the Rel-18 scope email discussion. </w:t>
      </w:r>
    </w:p>
    <w:p w14:paraId="6DB94117" w14:textId="08C24495" w:rsidR="002F3F7D" w:rsidRPr="00B332D4" w:rsidRDefault="002F3F7D" w:rsidP="002F3F7D">
      <w:pPr>
        <w:pStyle w:val="Proposal"/>
      </w:pPr>
      <w:bookmarkStart w:id="21" w:name="_Toc83986741"/>
      <w:r>
        <w:t xml:space="preserve">Handle </w:t>
      </w:r>
      <w:r>
        <w:rPr>
          <w:rFonts w:cs="Arial"/>
        </w:rPr>
        <w:t>BWP measurement enhancement</w:t>
      </w:r>
      <w:r w:rsidR="00B332D4">
        <w:rPr>
          <w:rFonts w:cs="Arial"/>
        </w:rPr>
        <w:t xml:space="preserve"> topic</w:t>
      </w:r>
      <w:r>
        <w:rPr>
          <w:rFonts w:cs="Arial"/>
        </w:rPr>
        <w:t xml:space="preserve"> for NTN beam management</w:t>
      </w:r>
      <w:r w:rsidR="002362B3">
        <w:t xml:space="preserve"> </w:t>
      </w:r>
      <w:r>
        <w:t>as part of the Rel-18 scope email discussion.</w:t>
      </w:r>
      <w:bookmarkEnd w:id="21"/>
    </w:p>
    <w:p w14:paraId="3C9AB946" w14:textId="12A1D9A2" w:rsidR="00026E66" w:rsidRPr="00726433" w:rsidRDefault="00026E66" w:rsidP="00026E66">
      <w:pPr>
        <w:pStyle w:val="Heading1"/>
        <w:rPr>
          <w:lang w:val="en-US"/>
        </w:rPr>
      </w:pPr>
      <w:r w:rsidRPr="00DF3509">
        <w:rPr>
          <w:lang w:val="en-US"/>
        </w:rPr>
        <w:t>3</w:t>
      </w:r>
      <w:r w:rsidRPr="00DF3509">
        <w:rPr>
          <w:lang w:val="en-US"/>
        </w:rPr>
        <w:tab/>
      </w:r>
      <w:r w:rsidR="00D1060F" w:rsidRPr="00DF3509">
        <w:rPr>
          <w:lang w:val="en-US"/>
        </w:rPr>
        <w:t>Signaling</w:t>
      </w:r>
      <w:r w:rsidRPr="00726433">
        <w:rPr>
          <w:lang w:val="en-US"/>
        </w:rPr>
        <w:t xml:space="preserve"> of polarization</w:t>
      </w:r>
    </w:p>
    <w:p w14:paraId="4B245A62" w14:textId="4446EE5F" w:rsidR="00132D6B" w:rsidRPr="00F36C74" w:rsidRDefault="00132D6B" w:rsidP="007A3BCC">
      <w:pPr>
        <w:jc w:val="both"/>
        <w:rPr>
          <w:rFonts w:ascii="Arial" w:hAnsi="Arial" w:cs="Arial"/>
          <w:lang w:eastAsia="ja-JP"/>
        </w:rPr>
      </w:pPr>
      <w:r w:rsidRPr="00F36C74">
        <w:rPr>
          <w:rFonts w:ascii="Arial" w:hAnsi="Arial" w:cs="Arial"/>
          <w:lang w:eastAsia="ja-JP"/>
        </w:rPr>
        <w:t xml:space="preserve">At </w:t>
      </w:r>
      <w:r w:rsidR="00495AAC" w:rsidRPr="00F36C74">
        <w:rPr>
          <w:rFonts w:ascii="Arial" w:hAnsi="Arial" w:cs="Arial"/>
          <w:lang w:eastAsia="ja-JP"/>
        </w:rPr>
        <w:t xml:space="preserve">the last </w:t>
      </w:r>
      <w:r w:rsidRPr="00F36C74">
        <w:rPr>
          <w:rFonts w:ascii="Arial" w:hAnsi="Arial" w:cs="Arial"/>
          <w:lang w:eastAsia="ja-JP"/>
        </w:rPr>
        <w:t>RAN1</w:t>
      </w:r>
      <w:r w:rsidR="00495AAC" w:rsidRPr="00F36C74">
        <w:rPr>
          <w:rFonts w:ascii="Arial" w:hAnsi="Arial" w:cs="Arial"/>
          <w:lang w:eastAsia="ja-JP"/>
        </w:rPr>
        <w:t xml:space="preserve"> meetings</w:t>
      </w:r>
      <w:r w:rsidRPr="00F36C74">
        <w:rPr>
          <w:rFonts w:ascii="Arial" w:hAnsi="Arial" w:cs="Arial"/>
          <w:lang w:eastAsia="ja-JP"/>
        </w:rPr>
        <w:t>, the following agreement</w:t>
      </w:r>
      <w:r w:rsidR="00026E66" w:rsidRPr="00F36C74">
        <w:rPr>
          <w:rFonts w:ascii="Arial" w:hAnsi="Arial" w:cs="Arial"/>
          <w:lang w:eastAsia="ja-JP"/>
        </w:rPr>
        <w:t>s</w:t>
      </w:r>
      <w:r w:rsidRPr="00F36C74">
        <w:rPr>
          <w:rFonts w:ascii="Arial" w:hAnsi="Arial" w:cs="Arial"/>
          <w:lang w:eastAsia="ja-JP"/>
        </w:rPr>
        <w:t xml:space="preserve"> w</w:t>
      </w:r>
      <w:r w:rsidR="00026E66" w:rsidRPr="00F36C74">
        <w:rPr>
          <w:rFonts w:ascii="Arial" w:hAnsi="Arial" w:cs="Arial"/>
          <w:lang w:eastAsia="ja-JP"/>
        </w:rPr>
        <w:t>ere</w:t>
      </w:r>
      <w:r w:rsidRPr="00F36C74">
        <w:rPr>
          <w:rFonts w:ascii="Arial" w:hAnsi="Arial" w:cs="Arial"/>
          <w:lang w:eastAsia="ja-JP"/>
        </w:rPr>
        <w:t xml:space="preserve"> made to support polarization signaling in NR NTN.</w:t>
      </w:r>
    </w:p>
    <w:p w14:paraId="5CDCCD18" w14:textId="6D9A06E4" w:rsidR="00132D6B" w:rsidRPr="00F36C74" w:rsidRDefault="00132D6B" w:rsidP="007A3BCC">
      <w:pPr>
        <w:jc w:val="both"/>
        <w:rPr>
          <w:rFonts w:ascii="Arial" w:hAnsi="Arial" w:cs="Arial"/>
          <w:lang w:eastAsia="ja-JP"/>
        </w:rPr>
      </w:pPr>
      <w:r w:rsidRPr="00F36C74">
        <w:rPr>
          <w:noProof/>
          <w:sz w:val="20"/>
          <w:szCs w:val="20"/>
        </w:rPr>
        <mc:AlternateContent>
          <mc:Choice Requires="wps">
            <w:drawing>
              <wp:inline distT="0" distB="0" distL="0" distR="0" wp14:anchorId="49075C07" wp14:editId="55F5B417">
                <wp:extent cx="6120765" cy="21640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4080"/>
                        </a:xfrm>
                        <a:prstGeom prst="rect">
                          <a:avLst/>
                        </a:prstGeom>
                        <a:solidFill>
                          <a:schemeClr val="lt1">
                            <a:lumMod val="100000"/>
                            <a:lumOff val="0"/>
                          </a:schemeClr>
                        </a:solidFill>
                        <a:ln w="6350">
                          <a:solidFill>
                            <a:srgbClr val="000000"/>
                          </a:solidFill>
                          <a:miter lim="800000"/>
                          <a:headEnd/>
                          <a:tailEnd/>
                        </a:ln>
                      </wps:spPr>
                      <wps:txbx>
                        <w:txbxContent>
                          <w:p w14:paraId="1DB504A9" w14:textId="77777777" w:rsidR="003D6969" w:rsidRPr="00495AAC" w:rsidRDefault="003D6969"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3D6969" w:rsidRPr="00495AAC" w:rsidRDefault="003D6969"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3D6969" w:rsidRPr="00495AAC" w:rsidRDefault="003D6969"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Potential enhancements for support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in NR NTN can consider at least the following:</w:t>
                            </w:r>
                          </w:p>
                          <w:p w14:paraId="722BEAFE"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19E3137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Dependence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signaling on deployment scenarios. For example,</w:t>
                            </w:r>
                          </w:p>
                          <w:p w14:paraId="31D5ADC8" w14:textId="77777777"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with intra-UE and inter-UE multiplexing (intra-UE and inter-UE)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w:t>
                            </w:r>
                          </w:p>
                        </w:txbxContent>
                      </wps:txbx>
                      <wps:bodyPr rot="0" vert="horz" wrap="square" lIns="91440" tIns="45720" rIns="91440" bIns="45720" anchor="t" anchorCtr="0" upright="1">
                        <a:noAutofit/>
                      </wps:bodyPr>
                    </wps:wsp>
                  </a:graphicData>
                </a:graphic>
              </wp:inline>
            </w:drawing>
          </mc:Choice>
          <mc:Fallback>
            <w:pict>
              <v:shape w14:anchorId="49075C07" id="Text Box 5" o:spid="_x0000_s1027" type="#_x0000_t202" style="width:481.95pt;height:1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" fillcolor="white [3201]" strokeweight=".5pt">
                <v:textbox>
                  <w:txbxContent>
                    <w:p w14:paraId="1DB504A9" w14:textId="77777777" w:rsidR="003D6969" w:rsidRPr="00495AAC" w:rsidRDefault="003D6969"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3D6969" w:rsidRPr="00495AAC" w:rsidRDefault="003D6969"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3D6969" w:rsidRPr="00495AAC" w:rsidRDefault="003D6969"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Potential enhancements for support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in NR NTN can consider at least the following:</w:t>
                      </w:r>
                    </w:p>
                    <w:p w14:paraId="722BEAFE"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19E3137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Dependence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signaling on deployment scenarios. For example,</w:t>
                      </w:r>
                    </w:p>
                    <w:p w14:paraId="31D5ADC8" w14:textId="77777777"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with intra-UE and inter-UE multiplexing (intra-UE and inter-UE)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w:t>
                      </w:r>
                    </w:p>
                  </w:txbxContent>
                </v:textbox>
                <w10:anchorlock/>
              </v:shape>
            </w:pict>
          </mc:Fallback>
        </mc:AlternateContent>
      </w:r>
    </w:p>
    <w:p w14:paraId="763CCCD2" w14:textId="393A656A" w:rsidR="0001662E" w:rsidRPr="00F36C74" w:rsidRDefault="0001662E" w:rsidP="007A3BCC">
      <w:pPr>
        <w:jc w:val="both"/>
        <w:rPr>
          <w:rFonts w:ascii="Arial" w:hAnsi="Arial" w:cs="Arial"/>
          <w:lang w:eastAsia="ja-JP"/>
        </w:rPr>
      </w:pPr>
      <w:r w:rsidRPr="00F36C74">
        <w:rPr>
          <w:noProof/>
          <w:sz w:val="20"/>
          <w:szCs w:val="20"/>
        </w:rPr>
        <w:lastRenderedPageBreak/>
        <mc:AlternateContent>
          <mc:Choice Requires="wps">
            <w:drawing>
              <wp:inline distT="0" distB="0" distL="0" distR="0" wp14:anchorId="6DE2BCD8" wp14:editId="42079ADA">
                <wp:extent cx="6120765" cy="1097280"/>
                <wp:effectExtent l="0" t="0" r="1333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97280"/>
                        </a:xfrm>
                        <a:prstGeom prst="rect">
                          <a:avLst/>
                        </a:prstGeom>
                        <a:solidFill>
                          <a:schemeClr val="lt1">
                            <a:lumMod val="100000"/>
                            <a:lumOff val="0"/>
                          </a:schemeClr>
                        </a:solidFill>
                        <a:ln w="6350">
                          <a:solidFill>
                            <a:srgbClr val="000000"/>
                          </a:solidFill>
                          <a:miter lim="800000"/>
                          <a:headEnd/>
                          <a:tailEnd/>
                        </a:ln>
                      </wps:spPr>
                      <wps:txbx>
                        <w:txbxContent>
                          <w:p w14:paraId="52C1E8FA" w14:textId="77777777"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3D6969" w:rsidRPr="00495AAC" w:rsidRDefault="003D6969" w:rsidP="009618EB">
                            <w:pPr>
                              <w:numPr>
                                <w:ilvl w:val="0"/>
                                <w:numId w:val="17"/>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3D6969" w:rsidRPr="003F4180" w:rsidRDefault="003D6969" w:rsidP="0001662E">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6DE2BCD8" id="Text Box 7" o:spid="_x0000_s1028" type="#_x0000_t202" style="width:481.95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" fillcolor="white [3201]" strokeweight=".5pt">
                <v:textbox>
                  <w:txbxContent>
                    <w:p w14:paraId="52C1E8FA" w14:textId="77777777"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3D6969" w:rsidRPr="00495AAC" w:rsidRDefault="003D6969" w:rsidP="009618EB">
                      <w:pPr>
                        <w:numPr>
                          <w:ilvl w:val="0"/>
                          <w:numId w:val="17"/>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3D6969" w:rsidRPr="003F4180" w:rsidRDefault="003D6969" w:rsidP="0001662E">
                      <w:pPr>
                        <w:spacing w:after="0" w:line="240" w:lineRule="auto"/>
                        <w:rPr>
                          <w:rFonts w:ascii="Times New Roman" w:eastAsia="Times New Roman" w:hAnsi="Times New Roman" w:cs="Times New Roman"/>
                          <w:lang w:eastAsia="x-none"/>
                        </w:rPr>
                      </w:pPr>
                    </w:p>
                  </w:txbxContent>
                </v:textbox>
                <w10:anchorlock/>
              </v:shape>
            </w:pict>
          </mc:Fallback>
        </mc:AlternateContent>
      </w:r>
    </w:p>
    <w:p w14:paraId="10515BF7" w14:textId="778769B4" w:rsidR="0001662E" w:rsidRDefault="0001662E" w:rsidP="007A3BCC">
      <w:pPr>
        <w:jc w:val="both"/>
        <w:rPr>
          <w:rFonts w:ascii="Arial" w:hAnsi="Arial" w:cs="Arial"/>
          <w:lang w:eastAsia="ja-JP"/>
        </w:rPr>
      </w:pPr>
      <w:r w:rsidRPr="00F36C74">
        <w:rPr>
          <w:noProof/>
          <w:sz w:val="20"/>
          <w:szCs w:val="20"/>
        </w:rPr>
        <mc:AlternateContent>
          <mc:Choice Requires="wps">
            <w:drawing>
              <wp:inline distT="0" distB="0" distL="0" distR="0" wp14:anchorId="5BA3FC06" wp14:editId="5F17AAD0">
                <wp:extent cx="6120765" cy="2804160"/>
                <wp:effectExtent l="0" t="0" r="13335" b="152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04160"/>
                        </a:xfrm>
                        <a:prstGeom prst="rect">
                          <a:avLst/>
                        </a:prstGeom>
                        <a:solidFill>
                          <a:schemeClr val="lt1">
                            <a:lumMod val="100000"/>
                            <a:lumOff val="0"/>
                          </a:schemeClr>
                        </a:solidFill>
                        <a:ln w="6350">
                          <a:solidFill>
                            <a:srgbClr val="000000"/>
                          </a:solidFill>
                          <a:miter lim="800000"/>
                          <a:headEnd/>
                          <a:tailEnd/>
                        </a:ln>
                      </wps:spPr>
                      <wps:txbx>
                        <w:txbxContent>
                          <w:p w14:paraId="13DCEA1C" w14:textId="55D343F8"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3D6969" w:rsidRPr="00495AAC" w:rsidRDefault="003D6969"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3D6969" w:rsidRPr="00495AAC" w:rsidRDefault="003D6969"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3D6969" w:rsidRPr="00495AAC" w:rsidRDefault="003D6969" w:rsidP="009618EB">
                            <w:pPr>
                              <w:numPr>
                                <w:ilvl w:val="0"/>
                                <w:numId w:val="20"/>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3D6969" w:rsidRPr="00495AAC" w:rsidRDefault="003D6969" w:rsidP="009618EB">
                            <w:pPr>
                              <w:numPr>
                                <w:ilvl w:val="0"/>
                                <w:numId w:val="20"/>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r w:rsidRPr="00495AAC">
                              <w:rPr>
                                <w:rFonts w:ascii="Times New Roman" w:eastAsia="Malgun Gothic" w:hAnsi="Times New Roman" w:cs="Times New Roman"/>
                                <w:bCs/>
                                <w:color w:val="000000"/>
                                <w:sz w:val="20"/>
                                <w:szCs w:val="20"/>
                                <w:lang w:eastAsia="ko-KR"/>
                              </w:rPr>
                              <w:t>whether or not a same polarization is indicated for DL and UL</w:t>
                            </w:r>
                          </w:p>
                          <w:p w14:paraId="062F42D7" w14:textId="4E64B496" w:rsidR="003D6969" w:rsidRPr="00495AAC" w:rsidRDefault="003D6969" w:rsidP="0001662E">
                            <w:pPr>
                              <w:spacing w:after="0" w:line="240" w:lineRule="auto"/>
                              <w:rPr>
                                <w:rFonts w:ascii="Times New Roman" w:eastAsia="Times New Roman" w:hAnsi="Times New Roman" w:cs="Times New Roman"/>
                                <w:sz w:val="20"/>
                                <w:szCs w:val="20"/>
                                <w:lang w:eastAsia="x-none"/>
                              </w:rPr>
                            </w:pPr>
                          </w:p>
                          <w:p w14:paraId="2F488A75" w14:textId="77777777" w:rsidR="003D6969" w:rsidRPr="00495AAC" w:rsidRDefault="003D6969"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3D6969" w:rsidRPr="00495AAC" w:rsidRDefault="003D6969"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wps:txbx>
                      <wps:bodyPr rot="0" vert="horz" wrap="square" lIns="91440" tIns="45720" rIns="91440" bIns="45720" anchor="t" anchorCtr="0" upright="1">
                        <a:noAutofit/>
                      </wps:bodyPr>
                    </wps:wsp>
                  </a:graphicData>
                </a:graphic>
              </wp:inline>
            </w:drawing>
          </mc:Choice>
          <mc:Fallback>
            <w:pict>
              <v:shape w14:anchorId="5BA3FC06" id="Text Box 8" o:spid="_x0000_s1029" type="#_x0000_t202" style="width:481.95pt;height:2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PKBRwIAAI8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" fillcolor="white [3201]" strokeweight=".5pt">
                <v:textbox>
                  <w:txbxContent>
                    <w:p w14:paraId="13DCEA1C" w14:textId="55D343F8"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3D6969" w:rsidRPr="00495AAC" w:rsidRDefault="003D6969"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3D6969" w:rsidRPr="00495AAC" w:rsidRDefault="003D6969"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3D6969" w:rsidRPr="00495AAC" w:rsidRDefault="003D6969" w:rsidP="009618EB">
                      <w:pPr>
                        <w:numPr>
                          <w:ilvl w:val="0"/>
                          <w:numId w:val="20"/>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3D6969" w:rsidRPr="00495AAC" w:rsidRDefault="003D6969" w:rsidP="009618EB">
                      <w:pPr>
                        <w:numPr>
                          <w:ilvl w:val="0"/>
                          <w:numId w:val="20"/>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r w:rsidRPr="00495AAC">
                        <w:rPr>
                          <w:rFonts w:ascii="Times New Roman" w:eastAsia="Malgun Gothic" w:hAnsi="Times New Roman" w:cs="Times New Roman"/>
                          <w:bCs/>
                          <w:color w:val="000000"/>
                          <w:sz w:val="20"/>
                          <w:szCs w:val="20"/>
                          <w:lang w:eastAsia="ko-KR"/>
                        </w:rPr>
                        <w:t>whether or not a same polarization is indicated for DL and UL</w:t>
                      </w:r>
                    </w:p>
                    <w:p w14:paraId="062F42D7" w14:textId="4E64B496" w:rsidR="003D6969" w:rsidRPr="00495AAC" w:rsidRDefault="003D6969" w:rsidP="0001662E">
                      <w:pPr>
                        <w:spacing w:after="0" w:line="240" w:lineRule="auto"/>
                        <w:rPr>
                          <w:rFonts w:ascii="Times New Roman" w:eastAsia="Times New Roman" w:hAnsi="Times New Roman" w:cs="Times New Roman"/>
                          <w:sz w:val="20"/>
                          <w:szCs w:val="20"/>
                          <w:lang w:eastAsia="x-none"/>
                        </w:rPr>
                      </w:pPr>
                    </w:p>
                    <w:p w14:paraId="2F488A75" w14:textId="77777777" w:rsidR="003D6969" w:rsidRPr="00495AAC" w:rsidRDefault="003D6969"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3D6969" w:rsidRPr="00495AAC" w:rsidRDefault="003D6969"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v:textbox>
                <w10:anchorlock/>
              </v:shape>
            </w:pict>
          </mc:Fallback>
        </mc:AlternateContent>
      </w:r>
    </w:p>
    <w:p w14:paraId="20EF227E" w14:textId="5FF3CAC3" w:rsidR="004058FC" w:rsidRPr="00F36C74" w:rsidRDefault="004058FC" w:rsidP="007A3BCC">
      <w:pPr>
        <w:jc w:val="both"/>
        <w:rPr>
          <w:rFonts w:ascii="Arial" w:hAnsi="Arial" w:cs="Arial"/>
          <w:lang w:eastAsia="ja-JP"/>
        </w:rPr>
      </w:pPr>
      <w:r w:rsidRPr="00F36C74">
        <w:rPr>
          <w:noProof/>
          <w:sz w:val="20"/>
          <w:szCs w:val="20"/>
        </w:rPr>
        <mc:AlternateContent>
          <mc:Choice Requires="wps">
            <w:drawing>
              <wp:inline distT="0" distB="0" distL="0" distR="0" wp14:anchorId="26B67A9A" wp14:editId="45663DDA">
                <wp:extent cx="6120765" cy="1934308"/>
                <wp:effectExtent l="0" t="0" r="13335" b="279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34308"/>
                        </a:xfrm>
                        <a:prstGeom prst="rect">
                          <a:avLst/>
                        </a:prstGeom>
                        <a:solidFill>
                          <a:schemeClr val="lt1">
                            <a:lumMod val="100000"/>
                            <a:lumOff val="0"/>
                          </a:schemeClr>
                        </a:solidFill>
                        <a:ln w="6350">
                          <a:solidFill>
                            <a:srgbClr val="000000"/>
                          </a:solidFill>
                          <a:miter lim="800000"/>
                          <a:headEnd/>
                          <a:tailEnd/>
                        </a:ln>
                      </wps:spPr>
                      <wps:txbx>
                        <w:txbxContent>
                          <w:p w14:paraId="48DB0E2A" w14:textId="5497820B" w:rsidR="003D6969" w:rsidRPr="004058FC" w:rsidRDefault="003D6969" w:rsidP="004058FC">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RAN1#105-e:</w:t>
                            </w:r>
                          </w:p>
                          <w:p w14:paraId="2FC11C43"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1E65F069"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For explicit indication of polarization information for DL by the network, support indication in SIB</w:t>
                            </w:r>
                          </w:p>
                          <w:p w14:paraId="619BD559" w14:textId="3D2CEEB7" w:rsidR="003D6969"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p w14:paraId="7FCEBA4B" w14:textId="77777777" w:rsidR="003D6969" w:rsidRPr="004058FC" w:rsidRDefault="003D6969" w:rsidP="004058FC">
                            <w:pPr>
                              <w:spacing w:after="0" w:line="240" w:lineRule="auto"/>
                              <w:ind w:left="720"/>
                              <w:rPr>
                                <w:rFonts w:ascii="Times New Roman" w:hAnsi="Times New Roman" w:cs="Times New Roman"/>
                                <w:sz w:val="20"/>
                                <w:szCs w:val="20"/>
                                <w:lang w:eastAsia="x-none"/>
                              </w:rPr>
                            </w:pPr>
                          </w:p>
                          <w:p w14:paraId="3254A687"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748551CC"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Polarization information for UL may be indicated in SIB by the network</w:t>
                            </w:r>
                          </w:p>
                          <w:p w14:paraId="399FE743"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UE assumes a same polarization for UL and DL, when the UL polarization information is absent.</w:t>
                            </w:r>
                          </w:p>
                          <w:p w14:paraId="7BB4E16E" w14:textId="4C14590A"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txbxContent>
                      </wps:txbx>
                      <wps:bodyPr rot="0" vert="horz" wrap="square" lIns="91440" tIns="45720" rIns="91440" bIns="45720" anchor="t" anchorCtr="0" upright="1">
                        <a:noAutofit/>
                      </wps:bodyPr>
                    </wps:wsp>
                  </a:graphicData>
                </a:graphic>
              </wp:inline>
            </w:drawing>
          </mc:Choice>
          <mc:Fallback>
            <w:pict>
              <v:shape w14:anchorId="26B67A9A" id="Text Box 6" o:spid="_x0000_s1030" type="#_x0000_t202" style="width:481.95pt;height:15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" fillcolor="white [3201]" strokeweight=".5pt">
                <v:textbox>
                  <w:txbxContent>
                    <w:p w14:paraId="48DB0E2A" w14:textId="5497820B" w:rsidR="003D6969" w:rsidRPr="004058FC" w:rsidRDefault="003D6969" w:rsidP="004058FC">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RAN1#105-e:</w:t>
                      </w:r>
                    </w:p>
                    <w:p w14:paraId="2FC11C43"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1E65F069"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For explicit indication of polarization information for DL by the network, support indication in SIB</w:t>
                      </w:r>
                    </w:p>
                    <w:p w14:paraId="619BD559" w14:textId="3D2CEEB7" w:rsidR="003D6969"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p w14:paraId="7FCEBA4B" w14:textId="77777777" w:rsidR="003D6969" w:rsidRPr="004058FC" w:rsidRDefault="003D6969" w:rsidP="004058FC">
                      <w:pPr>
                        <w:spacing w:after="0" w:line="240" w:lineRule="auto"/>
                        <w:ind w:left="720"/>
                        <w:rPr>
                          <w:rFonts w:ascii="Times New Roman" w:hAnsi="Times New Roman" w:cs="Times New Roman"/>
                          <w:sz w:val="20"/>
                          <w:szCs w:val="20"/>
                          <w:lang w:eastAsia="x-none"/>
                        </w:rPr>
                      </w:pPr>
                    </w:p>
                    <w:p w14:paraId="3254A687"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748551CC"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Polarization information for UL may be indicated in SIB by the network</w:t>
                      </w:r>
                    </w:p>
                    <w:p w14:paraId="399FE743"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UE assumes a same polarization for UL and DL, when the UL polarization information is absent.</w:t>
                      </w:r>
                    </w:p>
                    <w:p w14:paraId="7BB4E16E" w14:textId="4C14590A"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txbxContent>
                </v:textbox>
                <w10:anchorlock/>
              </v:shape>
            </w:pict>
          </mc:Fallback>
        </mc:AlternateContent>
      </w:r>
    </w:p>
    <w:p w14:paraId="15926EA9" w14:textId="712B2A63" w:rsidR="004B5748" w:rsidRDefault="004B5748" w:rsidP="007A3BCC">
      <w:pPr>
        <w:jc w:val="both"/>
        <w:rPr>
          <w:rFonts w:ascii="Arial" w:hAnsi="Arial" w:cs="Arial"/>
          <w:lang w:eastAsia="ja-JP"/>
        </w:rPr>
      </w:pPr>
      <w:r w:rsidRPr="00F36C74">
        <w:rPr>
          <w:noProof/>
          <w:sz w:val="20"/>
          <w:szCs w:val="20"/>
        </w:rPr>
        <mc:AlternateContent>
          <mc:Choice Requires="wps">
            <w:drawing>
              <wp:inline distT="0" distB="0" distL="0" distR="0" wp14:anchorId="20060271" wp14:editId="5FA4C407">
                <wp:extent cx="6120765" cy="1402080"/>
                <wp:effectExtent l="0" t="0" r="13335"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02080"/>
                        </a:xfrm>
                        <a:prstGeom prst="rect">
                          <a:avLst/>
                        </a:prstGeom>
                        <a:solidFill>
                          <a:schemeClr val="lt1">
                            <a:lumMod val="100000"/>
                            <a:lumOff val="0"/>
                          </a:schemeClr>
                        </a:solidFill>
                        <a:ln w="6350">
                          <a:solidFill>
                            <a:srgbClr val="000000"/>
                          </a:solidFill>
                          <a:miter lim="800000"/>
                          <a:headEnd/>
                          <a:tailEnd/>
                        </a:ln>
                      </wps:spPr>
                      <wps:txbx>
                        <w:txbxContent>
                          <w:p w14:paraId="3868A16C" w14:textId="0AAB7265" w:rsidR="004B5748" w:rsidRPr="004058FC" w:rsidRDefault="004B5748" w:rsidP="004B5748">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w:t>
                            </w:r>
                            <w:r>
                              <w:rPr>
                                <w:rFonts w:ascii="Times New Roman" w:hAnsi="Times New Roman" w:cs="Times New Roman"/>
                                <w:b/>
                                <w:bCs/>
                                <w:sz w:val="20"/>
                                <w:szCs w:val="20"/>
                                <w:u w:val="single"/>
                              </w:rPr>
                              <w:t>6</w:t>
                            </w:r>
                            <w:r w:rsidRPr="004058FC">
                              <w:rPr>
                                <w:rFonts w:ascii="Times New Roman" w:hAnsi="Times New Roman" w:cs="Times New Roman"/>
                                <w:b/>
                                <w:bCs/>
                                <w:sz w:val="20"/>
                                <w:szCs w:val="20"/>
                                <w:u w:val="single"/>
                              </w:rPr>
                              <w:t>-e:</w:t>
                            </w:r>
                          </w:p>
                          <w:p w14:paraId="21057A9D" w14:textId="77777777" w:rsidR="004B5748" w:rsidRPr="004058FC" w:rsidRDefault="004B5748" w:rsidP="004B5748">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6F0BA0DF" w14:textId="77777777" w:rsidR="004B5748" w:rsidRPr="004B5748" w:rsidRDefault="004B5748" w:rsidP="004B5748">
                            <w:pPr>
                              <w:rPr>
                                <w:rFonts w:ascii="Times New Roman" w:hAnsi="Times New Roman" w:cs="Times New Roman"/>
                                <w:sz w:val="20"/>
                                <w:szCs w:val="20"/>
                              </w:rPr>
                            </w:pPr>
                            <w:r w:rsidRPr="004B5748">
                              <w:rPr>
                                <w:rFonts w:ascii="Times New Roman" w:hAnsi="Times New Roman" w:cs="Times New Roman"/>
                                <w:sz w:val="20"/>
                                <w:szCs w:val="20"/>
                              </w:rPr>
                              <w:t xml:space="preserve">When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present in SIB</w:t>
                            </w:r>
                          </w:p>
                          <w:p w14:paraId="2C2772DE" w14:textId="77777777"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SIB indicates DL and/or UL polarization information using respective polarization type parameters to indicate: RHCP or LHCP or linear</w:t>
                            </w:r>
                          </w:p>
                          <w:p w14:paraId="040E8A0B" w14:textId="3544255C"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 xml:space="preserve">FFS: whether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per SSB</w:t>
                            </w:r>
                          </w:p>
                        </w:txbxContent>
                      </wps:txbx>
                      <wps:bodyPr rot="0" vert="horz" wrap="square" lIns="91440" tIns="45720" rIns="91440" bIns="45720" anchor="t" anchorCtr="0" upright="1">
                        <a:noAutofit/>
                      </wps:bodyPr>
                    </wps:wsp>
                  </a:graphicData>
                </a:graphic>
              </wp:inline>
            </w:drawing>
          </mc:Choice>
          <mc:Fallback>
            <w:pict>
              <v:shape w14:anchorId="20060271" id="Text Box 9" o:spid="_x0000_s1031" type="#_x0000_t202" style="width:481.9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" fillcolor="white [3201]" strokeweight=".5pt">
                <v:textbox>
                  <w:txbxContent>
                    <w:p w14:paraId="3868A16C" w14:textId="0AAB7265" w:rsidR="004B5748" w:rsidRPr="004058FC" w:rsidRDefault="004B5748" w:rsidP="004B5748">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w:t>
                      </w:r>
                      <w:r>
                        <w:rPr>
                          <w:rFonts w:ascii="Times New Roman" w:hAnsi="Times New Roman" w:cs="Times New Roman"/>
                          <w:b/>
                          <w:bCs/>
                          <w:sz w:val="20"/>
                          <w:szCs w:val="20"/>
                          <w:u w:val="single"/>
                        </w:rPr>
                        <w:t>6</w:t>
                      </w:r>
                      <w:r w:rsidRPr="004058FC">
                        <w:rPr>
                          <w:rFonts w:ascii="Times New Roman" w:hAnsi="Times New Roman" w:cs="Times New Roman"/>
                          <w:b/>
                          <w:bCs/>
                          <w:sz w:val="20"/>
                          <w:szCs w:val="20"/>
                          <w:u w:val="single"/>
                        </w:rPr>
                        <w:t>-e:</w:t>
                      </w:r>
                    </w:p>
                    <w:p w14:paraId="21057A9D" w14:textId="77777777" w:rsidR="004B5748" w:rsidRPr="004058FC" w:rsidRDefault="004B5748" w:rsidP="004B5748">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6F0BA0DF" w14:textId="77777777" w:rsidR="004B5748" w:rsidRPr="004B5748" w:rsidRDefault="004B5748" w:rsidP="004B5748">
                      <w:pPr>
                        <w:rPr>
                          <w:rFonts w:ascii="Times New Roman" w:hAnsi="Times New Roman" w:cs="Times New Roman"/>
                          <w:sz w:val="20"/>
                          <w:szCs w:val="20"/>
                        </w:rPr>
                      </w:pPr>
                      <w:r w:rsidRPr="004B5748">
                        <w:rPr>
                          <w:rFonts w:ascii="Times New Roman" w:hAnsi="Times New Roman" w:cs="Times New Roman"/>
                          <w:sz w:val="20"/>
                          <w:szCs w:val="20"/>
                        </w:rPr>
                        <w:t xml:space="preserve">When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present in SIB</w:t>
                      </w:r>
                    </w:p>
                    <w:p w14:paraId="2C2772DE" w14:textId="77777777"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SIB indicates DL and/or UL polarization information using respective polarization type parameters to indicate: RHCP or LHCP or linear</w:t>
                      </w:r>
                    </w:p>
                    <w:p w14:paraId="040E8A0B" w14:textId="3544255C"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 xml:space="preserve">FFS: whether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per SSB</w:t>
                      </w:r>
                    </w:p>
                  </w:txbxContent>
                </v:textbox>
                <w10:anchorlock/>
              </v:shape>
            </w:pict>
          </mc:Fallback>
        </mc:AlternateContent>
      </w:r>
    </w:p>
    <w:p w14:paraId="74ADD719" w14:textId="3DD7A99B" w:rsidR="007A3BCC" w:rsidRPr="004058FC" w:rsidRDefault="007A3BCC" w:rsidP="007A3BCC">
      <w:pPr>
        <w:jc w:val="both"/>
        <w:rPr>
          <w:rFonts w:ascii="Arial" w:hAnsi="Arial" w:cs="Arial"/>
          <w:lang w:eastAsia="ja-JP"/>
        </w:rPr>
      </w:pPr>
      <w:r w:rsidRPr="00F36C74">
        <w:rPr>
          <w:rFonts w:ascii="Arial" w:hAnsi="Arial" w:cs="Arial"/>
          <w:lang w:eastAsia="ja-JP"/>
        </w:rPr>
        <w:t xml:space="preserve">Most satellite networks make use of polarization. Right hand and </w:t>
      </w:r>
      <w:r w:rsidR="00EF2F53" w:rsidRPr="00F36C74">
        <w:rPr>
          <w:rFonts w:ascii="Arial" w:hAnsi="Arial" w:cs="Arial"/>
          <w:lang w:eastAsia="ja-JP"/>
        </w:rPr>
        <w:t>left-hand</w:t>
      </w:r>
      <w:r w:rsidRPr="00F36C74">
        <w:rPr>
          <w:rFonts w:ascii="Arial" w:hAnsi="Arial" w:cs="Arial"/>
          <w:lang w:eastAsia="ja-JP"/>
        </w:rPr>
        <w:t xml:space="preserve">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NGSO constellations in shared Ka-, Ku- and V-bands. High profile constellations such as the one provided by </w:t>
      </w:r>
      <w:proofErr w:type="spellStart"/>
      <w:r w:rsidRPr="00F36C74">
        <w:rPr>
          <w:rFonts w:ascii="Arial" w:hAnsi="Arial" w:cs="Arial"/>
          <w:lang w:eastAsia="ja-JP"/>
        </w:rPr>
        <w:t>Starlink</w:t>
      </w:r>
      <w:proofErr w:type="spellEnd"/>
      <w:r w:rsidRPr="00F36C74">
        <w:rPr>
          <w:rFonts w:ascii="Arial" w:hAnsi="Arial" w:cs="Arial"/>
          <w:lang w:eastAsia="ja-JP"/>
        </w:rPr>
        <w:t xml:space="preserve"> will</w:t>
      </w:r>
      <w:r w:rsidR="004361AE">
        <w:rPr>
          <w:rFonts w:ascii="Arial" w:hAnsi="Arial" w:cs="Arial"/>
          <w:lang w:eastAsia="ja-JP"/>
        </w:rPr>
        <w:t>,</w:t>
      </w:r>
      <w:r w:rsidRPr="00F36C74">
        <w:rPr>
          <w:rFonts w:ascii="Arial" w:hAnsi="Arial" w:cs="Arial"/>
          <w:lang w:eastAsia="ja-JP"/>
        </w:rPr>
        <w:t xml:space="preserve"> e.g.</w:t>
      </w:r>
      <w:r w:rsidR="004361AE">
        <w:rPr>
          <w:rFonts w:ascii="Arial" w:hAnsi="Arial" w:cs="Arial"/>
          <w:lang w:eastAsia="ja-JP"/>
        </w:rPr>
        <w:t>,</w:t>
      </w:r>
      <w:r w:rsidRPr="00F36C74">
        <w:rPr>
          <w:rFonts w:ascii="Arial" w:hAnsi="Arial" w:cs="Arial"/>
          <w:lang w:eastAsia="ja-JP"/>
        </w:rPr>
        <w:t xml:space="preserve"> make use of the same spectrum. Not only is the spectrum sharing </w:t>
      </w:r>
      <w:r w:rsidRPr="00F36C74">
        <w:rPr>
          <w:rFonts w:ascii="Arial" w:hAnsi="Arial" w:cs="Arial"/>
          <w:lang w:eastAsia="ja-JP"/>
        </w:rPr>
        <w:lastRenderedPageBreak/>
        <w:t>important between these NGSO constellations, but it is also required between them and existing GEO deployments. ITU Recommendation ITU-R S.1431 provides methods to enhance sharing between NGSO FSS systems and</w:t>
      </w:r>
      <w:r w:rsidR="004361AE">
        <w:rPr>
          <w:rFonts w:ascii="Arial" w:hAnsi="Arial" w:cs="Arial"/>
          <w:lang w:eastAsia="ja-JP"/>
        </w:rPr>
        <w:t>,</w:t>
      </w:r>
      <w:r w:rsidRPr="00F36C74">
        <w:rPr>
          <w:rFonts w:ascii="Arial" w:hAnsi="Arial" w:cs="Arial"/>
          <w:lang w:eastAsia="ja-JP"/>
        </w:rPr>
        <w:t xml:space="preserve"> e.g.</w:t>
      </w:r>
      <w:r w:rsidR="004361AE">
        <w:rPr>
          <w:rFonts w:ascii="Arial" w:hAnsi="Arial" w:cs="Arial"/>
          <w:lang w:eastAsia="ja-JP"/>
        </w:rPr>
        <w:t>,</w:t>
      </w:r>
      <w:r w:rsidRPr="00F36C74">
        <w:rPr>
          <w:rFonts w:ascii="Arial" w:hAnsi="Arial" w:cs="Arial"/>
          <w:lang w:eastAsia="ja-JP"/>
        </w:rPr>
        <w:t xml:space="preserve"> points out that two systems can share the same spectrum over the same geographical region by means of using different polarizations. Supporting such cases is important </w:t>
      </w:r>
      <w:r w:rsidRPr="001C50DB" w:rsidDel="006F22D4">
        <w:rPr>
          <w:rFonts w:ascii="Arial" w:hAnsi="Arial" w:cs="Arial"/>
          <w:lang w:eastAsia="ja-JP"/>
        </w:rPr>
        <w:t>for</w:t>
      </w:r>
      <w:r w:rsidRPr="009B2382">
        <w:rPr>
          <w:rFonts w:ascii="Arial" w:hAnsi="Arial" w:cs="Arial"/>
          <w:lang w:eastAsia="ja-JP"/>
        </w:rPr>
        <w:t xml:space="preserve"> NR NTN to be an attractive alternative for NGSO operators.</w:t>
      </w:r>
    </w:p>
    <w:p w14:paraId="174DB375" w14:textId="635D7C01" w:rsidR="007A3BCC" w:rsidRPr="00DF3509" w:rsidRDefault="007A3BCC" w:rsidP="007A3BCC">
      <w:pPr>
        <w:jc w:val="both"/>
        <w:rPr>
          <w:rFonts w:ascii="Arial" w:hAnsi="Arial" w:cs="Arial"/>
          <w:lang w:eastAsia="ja-JP"/>
        </w:rPr>
      </w:pPr>
      <w:r w:rsidRPr="004058FC">
        <w:rPr>
          <w:rFonts w:ascii="Arial" w:hAnsi="Arial" w:cs="Arial"/>
          <w:lang w:eastAsia="ja-JP"/>
        </w:rPr>
        <w:t>In pure LOS conditions</w:t>
      </w:r>
      <w:r w:rsidR="00E71461" w:rsidRPr="004058FC">
        <w:rPr>
          <w:rFonts w:ascii="Arial" w:hAnsi="Arial" w:cs="Arial"/>
          <w:lang w:eastAsia="ja-JP"/>
        </w:rPr>
        <w:t>,</w:t>
      </w:r>
      <w:r w:rsidRPr="004058FC">
        <w:rPr>
          <w:rFonts w:ascii="Arial" w:hAnsi="Arial" w:cs="Arial"/>
          <w:lang w:eastAsia="ja-JP"/>
        </w:rPr>
        <w:t xml:space="preserve"> the satellite transmit polarization should be detectable by a UE with high precision. In theory it could be required that a UE detects</w:t>
      </w:r>
      <w:r w:rsidRPr="004361AE">
        <w:rPr>
          <w:rFonts w:ascii="Arial" w:hAnsi="Arial" w:cs="Arial"/>
          <w:lang w:eastAsia="ja-JP"/>
        </w:rPr>
        <w:t xml:space="preserve"> the DL </w:t>
      </w:r>
      <w:r w:rsidR="00EF2F53" w:rsidRPr="004361AE">
        <w:rPr>
          <w:rFonts w:ascii="Arial" w:hAnsi="Arial" w:cs="Arial"/>
          <w:lang w:eastAsia="ja-JP"/>
        </w:rPr>
        <w:t>polarization and</w:t>
      </w:r>
      <w:r w:rsidRPr="004361AE">
        <w:rPr>
          <w:rFonts w:ascii="Arial" w:hAnsi="Arial" w:cs="Arial"/>
          <w:lang w:eastAsia="ja-JP"/>
        </w:rPr>
        <w:t xml:space="preserve"> makes use of the same polarization in the uplink. In practice</w:t>
      </w:r>
      <w:r w:rsidR="006579AC" w:rsidRPr="00337365">
        <w:rPr>
          <w:rFonts w:ascii="Arial" w:hAnsi="Arial" w:cs="Arial"/>
          <w:lang w:eastAsia="ja-JP"/>
        </w:rPr>
        <w:t>,</w:t>
      </w:r>
      <w:r w:rsidRPr="00DF3509">
        <w:rPr>
          <w:rFonts w:ascii="Arial" w:hAnsi="Arial" w:cs="Arial"/>
          <w:lang w:eastAsia="ja-JP"/>
        </w:rPr>
        <w:t xml:space="preserve"> however</w:t>
      </w:r>
      <w:r w:rsidR="006579AC" w:rsidRPr="00DF3509">
        <w:rPr>
          <w:rFonts w:ascii="Arial" w:hAnsi="Arial" w:cs="Arial"/>
          <w:lang w:eastAsia="ja-JP"/>
        </w:rPr>
        <w:t>,</w:t>
      </w:r>
      <w:r w:rsidRPr="00DF3509">
        <w:rPr>
          <w:rFonts w:ascii="Arial" w:hAnsi="Arial" w:cs="Arial"/>
          <w:lang w:eastAsia="ja-JP"/>
        </w:rPr>
        <w:t xml:space="preserve"> there are cases where reflections in buildings, landscape and water will impair the polarization before it reaches the UE. Assume</w:t>
      </w:r>
      <w:r w:rsidR="004361AE">
        <w:rPr>
          <w:rFonts w:ascii="Arial" w:hAnsi="Arial" w:cs="Arial"/>
          <w:lang w:eastAsia="ja-JP"/>
        </w:rPr>
        <w:t>,</w:t>
      </w:r>
      <w:r w:rsidRPr="004361AE">
        <w:rPr>
          <w:rFonts w:ascii="Arial" w:hAnsi="Arial" w:cs="Arial"/>
          <w:lang w:eastAsia="ja-JP"/>
        </w:rPr>
        <w:t xml:space="preserve"> e.g.</w:t>
      </w:r>
      <w:r w:rsidR="004361AE">
        <w:rPr>
          <w:rFonts w:ascii="Arial" w:hAnsi="Arial" w:cs="Arial"/>
          <w:lang w:eastAsia="ja-JP"/>
        </w:rPr>
        <w:t>,</w:t>
      </w:r>
      <w:r w:rsidRPr="004361AE">
        <w:rPr>
          <w:rFonts w:ascii="Arial" w:hAnsi="Arial" w:cs="Arial"/>
          <w:lang w:eastAsia="ja-JP"/>
        </w:rPr>
        <w:t xml:space="preserve"> that a satellite device receives a radio wave that was reflected in a window at the Brewster angle, at which the 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337365">
        <w:rPr>
          <w:rFonts w:ascii="Arial" w:hAnsi="Arial" w:cs="Arial"/>
          <w:lang w:eastAsia="ja-JP"/>
        </w:rPr>
        <w:t>T</w:t>
      </w:r>
      <w:r w:rsidRPr="00DF3509">
        <w:rPr>
          <w:rFonts w:ascii="Arial" w:hAnsi="Arial" w:cs="Arial"/>
          <w:lang w:eastAsia="ja-JP"/>
        </w:rPr>
        <w:t>o support a well</w:t>
      </w:r>
      <w:r w:rsidR="00173A6C" w:rsidRPr="00DF3509">
        <w:rPr>
          <w:rFonts w:ascii="Arial" w:hAnsi="Arial" w:cs="Arial"/>
          <w:lang w:eastAsia="ja-JP"/>
        </w:rPr>
        <w:t>-</w:t>
      </w:r>
      <w:r w:rsidRPr="00DF3509">
        <w:rPr>
          <w:rFonts w:ascii="Arial" w:hAnsi="Arial" w:cs="Arial"/>
          <w:lang w:eastAsia="ja-JP"/>
        </w:rPr>
        <w:t>defined polarization both in the DL and the UL</w:t>
      </w:r>
      <w:r w:rsidR="00035AB0" w:rsidRPr="00DF3509">
        <w:rPr>
          <w:rFonts w:ascii="Arial" w:hAnsi="Arial" w:cs="Arial"/>
          <w:lang w:eastAsia="ja-JP"/>
        </w:rPr>
        <w:t>,</w:t>
      </w:r>
      <w:r w:rsidRPr="00DF3509">
        <w:rPr>
          <w:rFonts w:ascii="Arial" w:hAnsi="Arial" w:cs="Arial"/>
          <w:lang w:eastAsia="ja-JP"/>
        </w:rPr>
        <w:t xml:space="preserve"> we believe that the network should at least broadcast to the UEs the UL transmit polarization. With this signaling in place</w:t>
      </w:r>
      <w:r w:rsidR="00035AB0" w:rsidRPr="00DF3509">
        <w:rPr>
          <w:rFonts w:ascii="Arial" w:hAnsi="Arial" w:cs="Arial"/>
          <w:lang w:eastAsia="ja-JP"/>
        </w:rPr>
        <w:t>,</w:t>
      </w:r>
      <w:r w:rsidRPr="00DF3509">
        <w:rPr>
          <w:rFonts w:ascii="Arial" w:hAnsi="Arial" w:cs="Arial"/>
          <w:lang w:eastAsia="ja-JP"/>
        </w:rPr>
        <w:t xml:space="preserve"> we believe that it is reasonable to also support signaling of the transmit polarization used for the DL.   </w:t>
      </w:r>
    </w:p>
    <w:p w14:paraId="6DF156F3" w14:textId="40D23B36" w:rsidR="00173A6C" w:rsidRPr="00DF3509" w:rsidRDefault="007A3BCC" w:rsidP="00173A6C">
      <w:pPr>
        <w:pStyle w:val="Observation"/>
        <w:overflowPunct w:val="0"/>
        <w:autoSpaceDE w:val="0"/>
        <w:autoSpaceDN w:val="0"/>
        <w:adjustRightInd w:val="0"/>
        <w:spacing w:line="240" w:lineRule="auto"/>
        <w:textAlignment w:val="baseline"/>
      </w:pPr>
      <w:bookmarkStart w:id="22" w:name="_Toc83986725"/>
      <w:r w:rsidRPr="00DF3509">
        <w:rPr>
          <w:rFonts w:cs="Arial"/>
        </w:rPr>
        <w:t>In some cases</w:t>
      </w:r>
      <w:r w:rsidR="00173A6C" w:rsidRPr="00DF3509">
        <w:rPr>
          <w:rFonts w:cs="Arial"/>
        </w:rPr>
        <w:t>,</w:t>
      </w:r>
      <w:r w:rsidRPr="00DF3509">
        <w:rPr>
          <w:rFonts w:cs="Arial"/>
        </w:rPr>
        <w:t xml:space="preserve"> a UE cannot be expected to reliably detect the used DL polarization.</w:t>
      </w:r>
      <w:bookmarkEnd w:id="22"/>
    </w:p>
    <w:p w14:paraId="15D3C545" w14:textId="184A9AB1" w:rsidR="00EB5FC9" w:rsidRPr="00DF3509" w:rsidRDefault="00EB5FC9" w:rsidP="00173A6C">
      <w:pPr>
        <w:pStyle w:val="Proposal"/>
      </w:pPr>
      <w:bookmarkStart w:id="23" w:name="_Toc83986742"/>
      <w:r w:rsidRPr="00DF3509">
        <w:rPr>
          <w:rFonts w:cs="Arial"/>
        </w:rPr>
        <w:t>Support signaling that allows the gNB to configure a UE’s polarization modes including the UE’s receive polarization mode in the DL and the UE’s transmit polarization mode in the UL.</w:t>
      </w:r>
      <w:bookmarkEnd w:id="23"/>
    </w:p>
    <w:p w14:paraId="172E70ED" w14:textId="6D08474B" w:rsidR="007A3BCC" w:rsidRPr="00DF3509" w:rsidRDefault="00173A6C" w:rsidP="00173A6C">
      <w:pPr>
        <w:jc w:val="both"/>
        <w:rPr>
          <w:rFonts w:ascii="Arial" w:hAnsi="Arial" w:cs="Arial"/>
          <w:lang w:eastAsia="ja-JP"/>
        </w:rPr>
      </w:pPr>
      <w:r w:rsidRPr="00DF3509">
        <w:rPr>
          <w:rFonts w:ascii="Arial" w:hAnsi="Arial" w:cs="Arial"/>
          <w:lang w:eastAsia="ja-JP"/>
        </w:rPr>
        <w:t xml:space="preserve">It is further expected that a mega NGSO constellation will be utilized to serve multiple types of devices </w:t>
      </w:r>
      <w:r w:rsidR="0072233B" w:rsidRPr="00DF3509">
        <w:rPr>
          <w:rFonts w:ascii="Arial" w:hAnsi="Arial" w:cs="Arial"/>
          <w:lang w:eastAsia="ja-JP"/>
        </w:rPr>
        <w:t>such as</w:t>
      </w:r>
      <w:r w:rsidRPr="00DF3509">
        <w:rPr>
          <w:rFonts w:ascii="Arial" w:hAnsi="Arial" w:cs="Arial"/>
          <w:lang w:eastAsia="ja-JP"/>
        </w:rPr>
        <w:t xml:space="preserve">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p>
    <w:p w14:paraId="3358FAB1" w14:textId="5FF6592A" w:rsidR="007A3BCC" w:rsidRPr="00DF3509" w:rsidRDefault="00173A6C" w:rsidP="00B263C5">
      <w:pPr>
        <w:pStyle w:val="Proposal"/>
      </w:pPr>
      <w:bookmarkStart w:id="24" w:name="_Toc83986743"/>
      <w:r w:rsidRPr="00DF3509">
        <w:rPr>
          <w:rFonts w:cs="Arial"/>
        </w:rPr>
        <w:t xml:space="preserve">NTN UE should report its polarization capability </w:t>
      </w:r>
      <w:r w:rsidR="00EB5FC9" w:rsidRPr="00DF3509">
        <w:rPr>
          <w:rFonts w:cs="Arial"/>
        </w:rPr>
        <w:t>(RHCP, LHCP, Linear)</w:t>
      </w:r>
      <w:r w:rsidRPr="00DF3509">
        <w:rPr>
          <w:rFonts w:cs="Arial"/>
        </w:rPr>
        <w:t xml:space="preserve"> to the network.</w:t>
      </w:r>
      <w:bookmarkEnd w:id="24"/>
    </w:p>
    <w:p w14:paraId="5300F849" w14:textId="18599418" w:rsidR="00C01F33" w:rsidRPr="00DF3509" w:rsidRDefault="00C01F33" w:rsidP="00CE0424">
      <w:pPr>
        <w:pStyle w:val="Heading1"/>
        <w:rPr>
          <w:lang w:val="en-US"/>
        </w:rPr>
      </w:pPr>
      <w:r w:rsidRPr="00DF3509">
        <w:rPr>
          <w:lang w:val="en-US"/>
        </w:rPr>
        <w:t>Conclusion</w:t>
      </w:r>
    </w:p>
    <w:p w14:paraId="5457A0DE" w14:textId="449386C0" w:rsidR="00EC6B83" w:rsidRPr="00F36C74" w:rsidRDefault="00F03DAF" w:rsidP="00D6223C">
      <w:pPr>
        <w:jc w:val="both"/>
        <w:rPr>
          <w:rFonts w:ascii="Arial" w:hAnsi="Arial"/>
          <w:b/>
          <w:bCs/>
        </w:rPr>
      </w:pPr>
      <w:r w:rsidRPr="00F36C74">
        <w:rPr>
          <w:rFonts w:ascii="Arial" w:hAnsi="Arial"/>
        </w:rPr>
        <w:t>In the previous sections</w:t>
      </w:r>
      <w:r w:rsidR="00C836D8" w:rsidRPr="00F36C74">
        <w:rPr>
          <w:rFonts w:ascii="Arial" w:hAnsi="Arial"/>
        </w:rPr>
        <w:t xml:space="preserve">, we </w:t>
      </w:r>
      <w:r w:rsidR="00D6223C" w:rsidRPr="00F36C74">
        <w:rPr>
          <w:rFonts w:ascii="Arial" w:hAnsi="Arial"/>
        </w:rPr>
        <w:t xml:space="preserve">discuss </w:t>
      </w:r>
      <w:r w:rsidR="007434CD" w:rsidRPr="00F36C74">
        <w:rPr>
          <w:rFonts w:ascii="Arial" w:hAnsi="Arial"/>
        </w:rPr>
        <w:t>enhancements for NTN</w:t>
      </w:r>
      <w:r w:rsidR="005C5B95" w:rsidRPr="00F36C74">
        <w:rPr>
          <w:rFonts w:ascii="Arial" w:hAnsi="Arial"/>
        </w:rPr>
        <w:t xml:space="preserve"> that fall in the category of “specify if beneficial and needed”</w:t>
      </w:r>
      <w:r w:rsidR="0053334B" w:rsidRPr="00F36C74">
        <w:rPr>
          <w:rFonts w:ascii="Arial" w:hAnsi="Arial"/>
        </w:rPr>
        <w:t xml:space="preserve">. </w:t>
      </w:r>
      <w:r w:rsidR="00D6223C" w:rsidRPr="00F36C74">
        <w:rPr>
          <w:rFonts w:ascii="Arial" w:hAnsi="Arial"/>
        </w:rPr>
        <w:t>W</w:t>
      </w:r>
      <w:r w:rsidR="009F06A5" w:rsidRPr="00F36C74">
        <w:rPr>
          <w:rFonts w:ascii="Arial" w:hAnsi="Arial"/>
        </w:rPr>
        <w:t>e made the following observations:</w:t>
      </w:r>
      <w:r w:rsidR="009F06A5" w:rsidRPr="00F36C74">
        <w:rPr>
          <w:rFonts w:ascii="Arial" w:hAnsi="Arial"/>
          <w:b/>
          <w:bCs/>
        </w:rPr>
        <w:t xml:space="preserve"> </w:t>
      </w:r>
    </w:p>
    <w:p w14:paraId="1B13221B" w14:textId="69867AA8" w:rsidR="00B332D4" w:rsidRDefault="009F06A5">
      <w:pPr>
        <w:pStyle w:val="TableofFigures"/>
        <w:tabs>
          <w:tab w:val="right" w:leader="dot" w:pos="9629"/>
        </w:tabs>
        <w:rPr>
          <w:rFonts w:asciiTheme="minorHAnsi" w:hAnsiTheme="minorHAnsi"/>
          <w:b w:val="0"/>
          <w:noProof/>
        </w:rPr>
      </w:pPr>
      <w:r w:rsidRPr="00F36C74">
        <w:rPr>
          <w:b w:val="0"/>
          <w:bCs/>
        </w:rPr>
        <w:fldChar w:fldCharType="begin"/>
      </w:r>
      <w:r w:rsidRPr="00F36C74">
        <w:rPr>
          <w:b w:val="0"/>
          <w:bCs/>
        </w:rPr>
        <w:instrText xml:space="preserve"> TOC \f O \n \h \z \t "Observation" \c </w:instrText>
      </w:r>
      <w:r w:rsidRPr="00F36C74">
        <w:rPr>
          <w:b w:val="0"/>
          <w:bCs/>
        </w:rPr>
        <w:fldChar w:fldCharType="separate"/>
      </w:r>
      <w:hyperlink w:anchor="_Toc83986716" w:history="1">
        <w:r w:rsidR="00B332D4" w:rsidRPr="00E646BB">
          <w:rPr>
            <w:rStyle w:val="Hyperlink"/>
            <w:rFonts w:cs="Arial"/>
            <w:noProof/>
          </w:rPr>
          <w:t>Observation 1</w:t>
        </w:r>
        <w:r w:rsidR="00B332D4">
          <w:rPr>
            <w:rFonts w:asciiTheme="minorHAnsi" w:hAnsiTheme="minorHAnsi"/>
            <w:b w:val="0"/>
            <w:noProof/>
          </w:rPr>
          <w:tab/>
        </w:r>
        <w:r w:rsidR="00B332D4" w:rsidRPr="00E646BB">
          <w:rPr>
            <w:rStyle w:val="Hyperlink"/>
            <w:rFonts w:cs="Arial"/>
            <w:noProof/>
          </w:rPr>
          <w:t>Both multiple-beam and one-beam per PCI mapping schemes can be realized for NTN with current NR specifications without any enhancement.</w:t>
        </w:r>
      </w:hyperlink>
    </w:p>
    <w:p w14:paraId="4810287F" w14:textId="494D295C" w:rsidR="00B332D4" w:rsidRDefault="00B332D4">
      <w:pPr>
        <w:pStyle w:val="TableofFigures"/>
        <w:tabs>
          <w:tab w:val="right" w:leader="dot" w:pos="9629"/>
        </w:tabs>
        <w:rPr>
          <w:rFonts w:asciiTheme="minorHAnsi" w:hAnsiTheme="minorHAnsi"/>
          <w:b w:val="0"/>
          <w:noProof/>
        </w:rPr>
      </w:pPr>
      <w:hyperlink w:anchor="_Toc83986717" w:history="1">
        <w:r w:rsidRPr="00E646BB">
          <w:rPr>
            <w:rStyle w:val="Hyperlink"/>
            <w:noProof/>
          </w:rPr>
          <w:t>Observation 2</w:t>
        </w:r>
        <w:r>
          <w:rPr>
            <w:rFonts w:asciiTheme="minorHAnsi" w:hAnsiTheme="minorHAnsi"/>
            <w:b w:val="0"/>
            <w:noProof/>
          </w:rPr>
          <w:tab/>
        </w:r>
        <w:r w:rsidRPr="00E646BB">
          <w:rPr>
            <w:rStyle w:val="Hyperlink"/>
            <w:noProof/>
          </w:rPr>
          <w:t>According to the current specification, gNB side predictions can already be used to facilitate beam management procedure.</w:t>
        </w:r>
      </w:hyperlink>
    </w:p>
    <w:p w14:paraId="2EEE5CF1" w14:textId="03D323E3" w:rsidR="00B332D4" w:rsidRDefault="00B332D4">
      <w:pPr>
        <w:pStyle w:val="TableofFigures"/>
        <w:tabs>
          <w:tab w:val="right" w:leader="dot" w:pos="9629"/>
        </w:tabs>
        <w:rPr>
          <w:rFonts w:asciiTheme="minorHAnsi" w:hAnsiTheme="minorHAnsi"/>
          <w:b w:val="0"/>
          <w:noProof/>
        </w:rPr>
      </w:pPr>
      <w:hyperlink w:anchor="_Toc83986718" w:history="1">
        <w:r w:rsidRPr="00E646BB">
          <w:rPr>
            <w:rStyle w:val="Hyperlink"/>
            <w:noProof/>
          </w:rPr>
          <w:t>Observation 3</w:t>
        </w:r>
        <w:r>
          <w:rPr>
            <w:rFonts w:asciiTheme="minorHAnsi" w:hAnsiTheme="minorHAnsi"/>
            <w:b w:val="0"/>
            <w:noProof/>
          </w:rPr>
          <w:tab/>
        </w:r>
        <w:r w:rsidRPr="00E646BB">
          <w:rPr>
            <w:rStyle w:val="Hyperlink"/>
            <w:noProof/>
          </w:rPr>
          <w:t>BWP switching is not necessarily predictable. BWP/beam switching should be performed dynamically with respect to UE position, interference level, channel condition, etc.</w:t>
        </w:r>
      </w:hyperlink>
    </w:p>
    <w:p w14:paraId="09704400" w14:textId="68418D1C" w:rsidR="00B332D4" w:rsidRDefault="00B332D4">
      <w:pPr>
        <w:pStyle w:val="TableofFigures"/>
        <w:tabs>
          <w:tab w:val="right" w:leader="dot" w:pos="9629"/>
        </w:tabs>
        <w:rPr>
          <w:rFonts w:asciiTheme="minorHAnsi" w:hAnsiTheme="minorHAnsi"/>
          <w:b w:val="0"/>
          <w:noProof/>
        </w:rPr>
      </w:pPr>
      <w:hyperlink w:anchor="_Toc83986719" w:history="1">
        <w:r w:rsidRPr="00E646BB">
          <w:rPr>
            <w:rStyle w:val="Hyperlink"/>
            <w:noProof/>
          </w:rPr>
          <w:t>Observation 4</w:t>
        </w:r>
        <w:r>
          <w:rPr>
            <w:rFonts w:asciiTheme="minorHAnsi" w:hAnsiTheme="minorHAnsi"/>
            <w:b w:val="0"/>
            <w:noProof/>
          </w:rPr>
          <w:tab/>
        </w:r>
        <w:r w:rsidRPr="00E646BB">
          <w:rPr>
            <w:rStyle w:val="Hyperlink"/>
            <w:noProof/>
          </w:rPr>
          <w:t>The frequent satellite beam switching for earth fixed beams is mainly caused by service link switching, which is handled by handover and not by L1 beam switching.</w:t>
        </w:r>
      </w:hyperlink>
    </w:p>
    <w:p w14:paraId="32ED5B30" w14:textId="6EB391F0" w:rsidR="00B332D4" w:rsidRDefault="00B332D4">
      <w:pPr>
        <w:pStyle w:val="TableofFigures"/>
        <w:tabs>
          <w:tab w:val="right" w:leader="dot" w:pos="9629"/>
        </w:tabs>
        <w:rPr>
          <w:rFonts w:asciiTheme="minorHAnsi" w:hAnsiTheme="minorHAnsi"/>
          <w:b w:val="0"/>
          <w:noProof/>
        </w:rPr>
      </w:pPr>
      <w:hyperlink w:anchor="_Toc83986720" w:history="1">
        <w:r w:rsidRPr="00E646BB">
          <w:rPr>
            <w:rStyle w:val="Hyperlink"/>
            <w:noProof/>
          </w:rPr>
          <w:t>Observation 5</w:t>
        </w:r>
        <w:r>
          <w:rPr>
            <w:rFonts w:asciiTheme="minorHAnsi" w:hAnsiTheme="minorHAnsi"/>
            <w:b w:val="0"/>
            <w:noProof/>
          </w:rPr>
          <w:tab/>
        </w:r>
        <w:r w:rsidRPr="00E646BB">
          <w:rPr>
            <w:rStyle w:val="Hyperlink"/>
            <w:noProof/>
          </w:rPr>
          <w:t>No clear scenario or evaluation has been provided to motivate the need for simultaneous beam switching of group of UEs.</w:t>
        </w:r>
      </w:hyperlink>
    </w:p>
    <w:p w14:paraId="56D01A33" w14:textId="682FB4F9" w:rsidR="00B332D4" w:rsidRDefault="00B332D4">
      <w:pPr>
        <w:pStyle w:val="TableofFigures"/>
        <w:tabs>
          <w:tab w:val="right" w:leader="dot" w:pos="9629"/>
        </w:tabs>
        <w:rPr>
          <w:rFonts w:asciiTheme="minorHAnsi" w:hAnsiTheme="minorHAnsi"/>
          <w:b w:val="0"/>
          <w:noProof/>
        </w:rPr>
      </w:pPr>
      <w:hyperlink w:anchor="_Toc83986721" w:history="1">
        <w:r w:rsidRPr="00E646BB">
          <w:rPr>
            <w:rStyle w:val="Hyperlink"/>
            <w:noProof/>
          </w:rPr>
          <w:t>Observation 6</w:t>
        </w:r>
        <w:r>
          <w:rPr>
            <w:rFonts w:asciiTheme="minorHAnsi" w:hAnsiTheme="minorHAnsi"/>
            <w:b w:val="0"/>
            <w:noProof/>
          </w:rPr>
          <w:tab/>
        </w:r>
        <w:r w:rsidRPr="00E646BB">
          <w:rPr>
            <w:rStyle w:val="Hyperlink"/>
            <w:noProof/>
          </w:rPr>
          <w:t>The “beam measurement on multiple RS associated with different beams within a same active BWP” is already supported by the specifications.</w:t>
        </w:r>
      </w:hyperlink>
    </w:p>
    <w:p w14:paraId="088A0799" w14:textId="432D2585" w:rsidR="00B332D4" w:rsidRDefault="00B332D4">
      <w:pPr>
        <w:pStyle w:val="TableofFigures"/>
        <w:tabs>
          <w:tab w:val="right" w:leader="dot" w:pos="9629"/>
        </w:tabs>
        <w:rPr>
          <w:rFonts w:asciiTheme="minorHAnsi" w:hAnsiTheme="minorHAnsi"/>
          <w:b w:val="0"/>
          <w:noProof/>
        </w:rPr>
      </w:pPr>
      <w:hyperlink w:anchor="_Toc83986722" w:history="1">
        <w:r w:rsidRPr="00E646BB">
          <w:rPr>
            <w:rStyle w:val="Hyperlink"/>
            <w:noProof/>
          </w:rPr>
          <w:t>Observation 7</w:t>
        </w:r>
        <w:r>
          <w:rPr>
            <w:rFonts w:asciiTheme="minorHAnsi" w:hAnsiTheme="minorHAnsi"/>
            <w:b w:val="0"/>
            <w:noProof/>
          </w:rPr>
          <w:tab/>
        </w:r>
        <w:r w:rsidRPr="00E646BB">
          <w:rPr>
            <w:rStyle w:val="Hyperlink"/>
            <w:rFonts w:cs="Arial"/>
            <w:noProof/>
          </w:rPr>
          <w:t>The “beam measurement on multiple RS associated with different beams within across BWPs” is supported in the specifications by means of BWP switching between different BWPs.</w:t>
        </w:r>
      </w:hyperlink>
    </w:p>
    <w:p w14:paraId="32522FBB" w14:textId="7F40DE4A" w:rsidR="00B332D4" w:rsidRDefault="00B332D4">
      <w:pPr>
        <w:pStyle w:val="TableofFigures"/>
        <w:tabs>
          <w:tab w:val="right" w:leader="dot" w:pos="9629"/>
        </w:tabs>
        <w:rPr>
          <w:rFonts w:asciiTheme="minorHAnsi" w:hAnsiTheme="minorHAnsi"/>
          <w:b w:val="0"/>
          <w:noProof/>
        </w:rPr>
      </w:pPr>
      <w:hyperlink w:anchor="_Toc83986723" w:history="1">
        <w:r w:rsidRPr="00E646BB">
          <w:rPr>
            <w:rStyle w:val="Hyperlink"/>
            <w:noProof/>
          </w:rPr>
          <w:t>Observation 8</w:t>
        </w:r>
        <w:r>
          <w:rPr>
            <w:rFonts w:asciiTheme="minorHAnsi" w:hAnsiTheme="minorHAnsi"/>
            <w:b w:val="0"/>
            <w:noProof/>
          </w:rPr>
          <w:tab/>
        </w:r>
        <w:r w:rsidRPr="00E646BB">
          <w:rPr>
            <w:rStyle w:val="Hyperlink"/>
            <w:rFonts w:cs="Arial"/>
            <w:noProof/>
          </w:rPr>
          <w:t>Measurements on multiple RS across BWPs without BWP switching is not an essential feature for realizing the FRF&gt;1 scenario for NTN.</w:t>
        </w:r>
      </w:hyperlink>
    </w:p>
    <w:p w14:paraId="15FDE6C9" w14:textId="7511D21E" w:rsidR="00B332D4" w:rsidRDefault="00B332D4">
      <w:pPr>
        <w:pStyle w:val="TableofFigures"/>
        <w:tabs>
          <w:tab w:val="right" w:leader="dot" w:pos="9629"/>
        </w:tabs>
        <w:rPr>
          <w:rFonts w:asciiTheme="minorHAnsi" w:hAnsiTheme="minorHAnsi"/>
          <w:b w:val="0"/>
          <w:noProof/>
        </w:rPr>
      </w:pPr>
      <w:hyperlink w:anchor="_Toc83986724" w:history="1">
        <w:r w:rsidRPr="00E646BB">
          <w:rPr>
            <w:rStyle w:val="Hyperlink"/>
            <w:noProof/>
          </w:rPr>
          <w:t>Observation 9</w:t>
        </w:r>
        <w:r>
          <w:rPr>
            <w:rFonts w:asciiTheme="minorHAnsi" w:hAnsiTheme="minorHAnsi"/>
            <w:b w:val="0"/>
            <w:noProof/>
          </w:rPr>
          <w:tab/>
        </w:r>
        <w:r w:rsidRPr="00E646BB">
          <w:rPr>
            <w:rStyle w:val="Hyperlink"/>
            <w:noProof/>
          </w:rPr>
          <w:t>The feature of “beam measurement on multiple RS associated with different beams within across BWPs”, if introduced, mostly likely would be an optional UE capability.</w:t>
        </w:r>
        <w:r w:rsidRPr="00E646BB">
          <w:rPr>
            <w:rStyle w:val="Hyperlink"/>
            <w:rFonts w:cs="Arial"/>
            <w:noProof/>
          </w:rPr>
          <w:t xml:space="preserve"> The network cannot rely on the feature for deployment of multiple beams per cell with FRF&gt;1, as network would need to tailor the deployment to the least capable UEs.</w:t>
        </w:r>
      </w:hyperlink>
    </w:p>
    <w:p w14:paraId="488B7C4B" w14:textId="4825D506" w:rsidR="00B332D4" w:rsidRDefault="00B332D4">
      <w:pPr>
        <w:pStyle w:val="TableofFigures"/>
        <w:tabs>
          <w:tab w:val="right" w:leader="dot" w:pos="9629"/>
        </w:tabs>
        <w:rPr>
          <w:rFonts w:asciiTheme="minorHAnsi" w:hAnsiTheme="minorHAnsi"/>
          <w:b w:val="0"/>
          <w:noProof/>
        </w:rPr>
      </w:pPr>
      <w:hyperlink w:anchor="_Toc83986725" w:history="1">
        <w:r w:rsidRPr="00E646BB">
          <w:rPr>
            <w:rStyle w:val="Hyperlink"/>
            <w:noProof/>
          </w:rPr>
          <w:t>Observation 10</w:t>
        </w:r>
        <w:r>
          <w:rPr>
            <w:rFonts w:asciiTheme="minorHAnsi" w:hAnsiTheme="minorHAnsi"/>
            <w:b w:val="0"/>
            <w:noProof/>
          </w:rPr>
          <w:tab/>
        </w:r>
        <w:r w:rsidRPr="00E646BB">
          <w:rPr>
            <w:rStyle w:val="Hyperlink"/>
            <w:rFonts w:cs="Arial"/>
            <w:noProof/>
          </w:rPr>
          <w:t>In some cases, a UE cannot be expected to reliably detect the used DL polarization.</w:t>
        </w:r>
      </w:hyperlink>
    </w:p>
    <w:p w14:paraId="2A2C29D5" w14:textId="7753BC10" w:rsidR="00B332D4" w:rsidRDefault="00B332D4">
      <w:pPr>
        <w:pStyle w:val="TableofFigures"/>
        <w:tabs>
          <w:tab w:val="right" w:leader="dot" w:pos="9629"/>
        </w:tabs>
        <w:rPr>
          <w:rFonts w:asciiTheme="minorHAnsi" w:hAnsiTheme="minorHAnsi"/>
          <w:b w:val="0"/>
          <w:noProof/>
        </w:rPr>
      </w:pPr>
      <w:hyperlink w:anchor="_Toc83986726" w:history="1">
        <w:r w:rsidRPr="00E646BB">
          <w:rPr>
            <w:rStyle w:val="Hyperlink"/>
            <w:noProof/>
          </w:rPr>
          <w:t>Observation 11</w:t>
        </w:r>
        <w:r>
          <w:rPr>
            <w:rFonts w:asciiTheme="minorHAnsi" w:hAnsiTheme="minorHAnsi"/>
            <w:b w:val="0"/>
            <w:noProof/>
          </w:rPr>
          <w:tab/>
        </w:r>
        <w:r w:rsidRPr="00E646BB">
          <w:rPr>
            <w:rStyle w:val="Hyperlink"/>
            <w:rFonts w:cs="Arial"/>
            <w:noProof/>
          </w:rPr>
          <w:t>Using BWP-BM association to enable a frequency reuse can already be supported by existing NR specification. It is a choice of network configuration and implementation.</w:t>
        </w:r>
      </w:hyperlink>
    </w:p>
    <w:p w14:paraId="7B4D8905" w14:textId="00E0C35B" w:rsidR="00B332D4" w:rsidRDefault="00B332D4">
      <w:pPr>
        <w:pStyle w:val="TableofFigures"/>
        <w:tabs>
          <w:tab w:val="right" w:leader="dot" w:pos="9629"/>
        </w:tabs>
        <w:rPr>
          <w:rFonts w:asciiTheme="minorHAnsi" w:hAnsiTheme="minorHAnsi"/>
          <w:b w:val="0"/>
          <w:noProof/>
        </w:rPr>
      </w:pPr>
      <w:hyperlink w:anchor="_Toc83986727" w:history="1">
        <w:r w:rsidRPr="00E646BB">
          <w:rPr>
            <w:rStyle w:val="Hyperlink"/>
            <w:noProof/>
          </w:rPr>
          <w:t>Observation 12</w:t>
        </w:r>
        <w:r>
          <w:rPr>
            <w:rFonts w:asciiTheme="minorHAnsi" w:hAnsiTheme="minorHAnsi"/>
            <w:b w:val="0"/>
            <w:noProof/>
          </w:rPr>
          <w:tab/>
        </w:r>
        <w:r w:rsidRPr="00E646BB">
          <w:rPr>
            <w:rStyle w:val="Hyperlink"/>
            <w:noProof/>
          </w:rPr>
          <w:t>Mapping between BWP index and beam (SSB) index is already supported by current specification.</w:t>
        </w:r>
      </w:hyperlink>
    </w:p>
    <w:p w14:paraId="688E914E" w14:textId="7BE37B8C" w:rsidR="00B332D4" w:rsidRDefault="00B332D4">
      <w:pPr>
        <w:pStyle w:val="TableofFigures"/>
        <w:tabs>
          <w:tab w:val="right" w:leader="dot" w:pos="9629"/>
        </w:tabs>
        <w:rPr>
          <w:rFonts w:asciiTheme="minorHAnsi" w:hAnsiTheme="minorHAnsi"/>
          <w:b w:val="0"/>
          <w:noProof/>
        </w:rPr>
      </w:pPr>
      <w:hyperlink w:anchor="_Toc83986728" w:history="1">
        <w:r w:rsidRPr="00E646BB">
          <w:rPr>
            <w:rStyle w:val="Hyperlink"/>
            <w:noProof/>
          </w:rPr>
          <w:t>Observation 13</w:t>
        </w:r>
        <w:r>
          <w:rPr>
            <w:rFonts w:asciiTheme="minorHAnsi" w:hAnsiTheme="minorHAnsi"/>
            <w:b w:val="0"/>
            <w:noProof/>
          </w:rPr>
          <w:tab/>
        </w:r>
        <w:r w:rsidRPr="00E646BB">
          <w:rPr>
            <w:rStyle w:val="Hyperlink"/>
            <w:noProof/>
          </w:rPr>
          <w:t>BWP specific transmission of CORESET#0, SIB1 and SSBs requires significant specification effort. The actual effect is equivalent to 1-beam per cell scenario.</w:t>
        </w:r>
      </w:hyperlink>
    </w:p>
    <w:p w14:paraId="40694D5B" w14:textId="7FA66773" w:rsidR="00B332D4" w:rsidRDefault="00B332D4">
      <w:pPr>
        <w:pStyle w:val="TableofFigures"/>
        <w:tabs>
          <w:tab w:val="right" w:leader="dot" w:pos="9629"/>
        </w:tabs>
        <w:rPr>
          <w:rFonts w:asciiTheme="minorHAnsi" w:hAnsiTheme="minorHAnsi"/>
          <w:b w:val="0"/>
          <w:noProof/>
        </w:rPr>
      </w:pPr>
      <w:hyperlink w:anchor="_Toc83986729" w:history="1">
        <w:r w:rsidRPr="00E646BB">
          <w:rPr>
            <w:rStyle w:val="Hyperlink"/>
            <w:noProof/>
          </w:rPr>
          <w:t>Observation 14</w:t>
        </w:r>
        <w:r>
          <w:rPr>
            <w:rFonts w:asciiTheme="minorHAnsi" w:hAnsiTheme="minorHAnsi"/>
            <w:b w:val="0"/>
            <w:noProof/>
          </w:rPr>
          <w:tab/>
        </w:r>
        <w:r w:rsidRPr="00E646BB">
          <w:rPr>
            <w:rStyle w:val="Hyperlink"/>
            <w:noProof/>
          </w:rPr>
          <w:t>Complete autonomous UE based beam switching is against the level of control that network should have over the UE behavior.</w:t>
        </w:r>
      </w:hyperlink>
    </w:p>
    <w:p w14:paraId="22C964BE" w14:textId="5F625457" w:rsidR="00B332D4" w:rsidRDefault="00B332D4">
      <w:pPr>
        <w:pStyle w:val="TableofFigures"/>
        <w:tabs>
          <w:tab w:val="right" w:leader="dot" w:pos="9629"/>
        </w:tabs>
        <w:rPr>
          <w:rFonts w:asciiTheme="minorHAnsi" w:hAnsiTheme="minorHAnsi"/>
          <w:b w:val="0"/>
          <w:noProof/>
        </w:rPr>
      </w:pPr>
      <w:hyperlink w:anchor="_Toc83986730" w:history="1">
        <w:r w:rsidRPr="00E646BB">
          <w:rPr>
            <w:rStyle w:val="Hyperlink"/>
            <w:noProof/>
          </w:rPr>
          <w:t>Observation 15</w:t>
        </w:r>
        <w:r>
          <w:rPr>
            <w:rFonts w:asciiTheme="minorHAnsi" w:hAnsiTheme="minorHAnsi"/>
            <w:b w:val="0"/>
            <w:noProof/>
          </w:rPr>
          <w:tab/>
        </w:r>
        <w:r w:rsidRPr="00E646BB">
          <w:rPr>
            <w:rStyle w:val="Hyperlink"/>
            <w:noProof/>
          </w:rPr>
          <w:t>Providing assistance information to UE for the UE autonomous beam/BWP switching imposes signaling overhead and introduces delay.</w:t>
        </w:r>
      </w:hyperlink>
    </w:p>
    <w:p w14:paraId="3FD31450" w14:textId="232A87D8" w:rsidR="009F06A5" w:rsidRPr="00F36C74" w:rsidRDefault="009F06A5" w:rsidP="009F06A5">
      <w:pPr>
        <w:pStyle w:val="BodyText"/>
      </w:pPr>
      <w:r w:rsidRPr="00F36C74">
        <w:rPr>
          <w:b/>
          <w:bCs/>
        </w:rPr>
        <w:fldChar w:fldCharType="end"/>
      </w:r>
    </w:p>
    <w:p w14:paraId="1FBF2552" w14:textId="77777777" w:rsidR="009F06A5" w:rsidRPr="00F36C74" w:rsidRDefault="009F06A5" w:rsidP="009F06A5">
      <w:pPr>
        <w:pStyle w:val="BodyText"/>
      </w:pPr>
      <w:r w:rsidRPr="00F36C74">
        <w:t>Based on the discussion in the previous sections we propose the following:</w:t>
      </w:r>
    </w:p>
    <w:p w14:paraId="2FF218FE" w14:textId="7FEFC06C" w:rsidR="00B332D4" w:rsidRDefault="009F06A5">
      <w:pPr>
        <w:pStyle w:val="TableofFigures"/>
        <w:tabs>
          <w:tab w:val="right" w:leader="dot" w:pos="9629"/>
        </w:tabs>
        <w:rPr>
          <w:rFonts w:asciiTheme="minorHAnsi" w:hAnsiTheme="minorHAnsi"/>
          <w:b w:val="0"/>
          <w:noProof/>
        </w:rPr>
      </w:pPr>
      <w:r w:rsidRPr="00F36C74">
        <w:rPr>
          <w:b w:val="0"/>
          <w:bCs/>
        </w:rPr>
        <w:fldChar w:fldCharType="begin"/>
      </w:r>
      <w:r w:rsidRPr="00F36C74">
        <w:rPr>
          <w:b w:val="0"/>
          <w:bCs/>
        </w:rPr>
        <w:instrText xml:space="preserve"> TOC \n \h \z \t "Proposal" \c </w:instrText>
      </w:r>
      <w:r w:rsidRPr="00F36C74">
        <w:rPr>
          <w:b w:val="0"/>
          <w:bCs/>
        </w:rPr>
        <w:fldChar w:fldCharType="separate"/>
      </w:r>
      <w:hyperlink w:anchor="_Toc83986731" w:history="1">
        <w:r w:rsidR="00B332D4" w:rsidRPr="006759F4">
          <w:rPr>
            <w:rStyle w:val="Hyperlink"/>
            <w:noProof/>
          </w:rPr>
          <w:t>Proposal 1</w:t>
        </w:r>
        <w:r w:rsidR="00B332D4">
          <w:rPr>
            <w:rFonts w:asciiTheme="minorHAnsi" w:hAnsiTheme="minorHAnsi"/>
            <w:b w:val="0"/>
            <w:noProof/>
          </w:rPr>
          <w:tab/>
        </w:r>
        <w:r w:rsidR="00B332D4" w:rsidRPr="006759F4">
          <w:rPr>
            <w:rStyle w:val="Hyperlink"/>
            <w:noProof/>
          </w:rPr>
          <w:t>Regarding prediction based gNB dominant BWP/beam switching, the following aspects need to be studied first:</w:t>
        </w:r>
      </w:hyperlink>
    </w:p>
    <w:p w14:paraId="75B5A52E" w14:textId="7D986E77" w:rsidR="00B332D4" w:rsidRDefault="00B332D4">
      <w:pPr>
        <w:pStyle w:val="TableofFigures"/>
        <w:tabs>
          <w:tab w:val="right" w:leader="dot" w:pos="9629"/>
        </w:tabs>
        <w:rPr>
          <w:rFonts w:asciiTheme="minorHAnsi" w:hAnsiTheme="minorHAnsi"/>
          <w:b w:val="0"/>
          <w:noProof/>
        </w:rPr>
      </w:pPr>
      <w:hyperlink w:anchor="_Toc83986732" w:history="1">
        <w:r w:rsidRPr="006759F4">
          <w:rPr>
            <w:rStyle w:val="Hyperlink"/>
            <w:noProof/>
          </w:rPr>
          <w:t>a)</w:t>
        </w:r>
        <w:r>
          <w:rPr>
            <w:rFonts w:asciiTheme="minorHAnsi" w:hAnsiTheme="minorHAnsi"/>
            <w:b w:val="0"/>
            <w:noProof/>
          </w:rPr>
          <w:tab/>
        </w:r>
        <w:r w:rsidRPr="006759F4">
          <w:rPr>
            <w:rStyle w:val="Hyperlink"/>
            <w:noProof/>
          </w:rPr>
          <w:t>Whether any specification work is required for prediction-based beam switching at the gNB side.</w:t>
        </w:r>
      </w:hyperlink>
    </w:p>
    <w:p w14:paraId="548EDEE7" w14:textId="40FE5135" w:rsidR="00B332D4" w:rsidRDefault="00B332D4">
      <w:pPr>
        <w:pStyle w:val="TableofFigures"/>
        <w:tabs>
          <w:tab w:val="right" w:leader="dot" w:pos="9629"/>
        </w:tabs>
        <w:rPr>
          <w:rFonts w:asciiTheme="minorHAnsi" w:hAnsiTheme="minorHAnsi"/>
          <w:b w:val="0"/>
          <w:noProof/>
        </w:rPr>
      </w:pPr>
      <w:hyperlink w:anchor="_Toc83986733" w:history="1">
        <w:r w:rsidRPr="006759F4">
          <w:rPr>
            <w:rStyle w:val="Hyperlink"/>
            <w:noProof/>
          </w:rPr>
          <w:t>b)</w:t>
        </w:r>
        <w:r>
          <w:rPr>
            <w:rFonts w:asciiTheme="minorHAnsi" w:hAnsiTheme="minorHAnsi"/>
            <w:b w:val="0"/>
            <w:noProof/>
          </w:rPr>
          <w:tab/>
        </w:r>
        <w:r w:rsidRPr="006759F4">
          <w:rPr>
            <w:rStyle w:val="Hyperlink"/>
            <w:noProof/>
          </w:rPr>
          <w:t>Clarification of enhancements that address L1 beam switching compared to the enhancements of service link switching.</w:t>
        </w:r>
      </w:hyperlink>
    </w:p>
    <w:p w14:paraId="080A343D" w14:textId="3EBC7397" w:rsidR="00B332D4" w:rsidRDefault="00B332D4">
      <w:pPr>
        <w:pStyle w:val="TableofFigures"/>
        <w:tabs>
          <w:tab w:val="right" w:leader="dot" w:pos="9629"/>
        </w:tabs>
        <w:rPr>
          <w:rFonts w:asciiTheme="minorHAnsi" w:hAnsiTheme="minorHAnsi"/>
          <w:b w:val="0"/>
          <w:noProof/>
        </w:rPr>
      </w:pPr>
      <w:hyperlink w:anchor="_Toc83986734" w:history="1">
        <w:r w:rsidRPr="006759F4">
          <w:rPr>
            <w:rStyle w:val="Hyperlink"/>
            <w:noProof/>
          </w:rPr>
          <w:t>c)</w:t>
        </w:r>
        <w:r>
          <w:rPr>
            <w:rFonts w:asciiTheme="minorHAnsi" w:hAnsiTheme="minorHAnsi"/>
            <w:b w:val="0"/>
            <w:noProof/>
          </w:rPr>
          <w:tab/>
        </w:r>
        <w:r w:rsidRPr="006759F4">
          <w:rPr>
            <w:rStyle w:val="Hyperlink"/>
            <w:noProof/>
          </w:rPr>
          <w:t>Detailed scenarios that prove the specific issues regarding the predictability of NTN beam switching that requires specification work.</w:t>
        </w:r>
      </w:hyperlink>
    </w:p>
    <w:p w14:paraId="0A82C65B" w14:textId="6C9C48F8" w:rsidR="00B332D4" w:rsidRDefault="00B332D4">
      <w:pPr>
        <w:pStyle w:val="TableofFigures"/>
        <w:tabs>
          <w:tab w:val="right" w:leader="dot" w:pos="9629"/>
        </w:tabs>
        <w:rPr>
          <w:rFonts w:asciiTheme="minorHAnsi" w:hAnsiTheme="minorHAnsi"/>
          <w:b w:val="0"/>
          <w:noProof/>
        </w:rPr>
      </w:pPr>
      <w:hyperlink w:anchor="_Toc83986735" w:history="1">
        <w:r w:rsidRPr="006759F4">
          <w:rPr>
            <w:rStyle w:val="Hyperlink"/>
            <w:rFonts w:cs="Arial"/>
            <w:noProof/>
          </w:rPr>
          <w:t>d)</w:t>
        </w:r>
        <w:r>
          <w:rPr>
            <w:rFonts w:asciiTheme="minorHAnsi" w:hAnsiTheme="minorHAnsi"/>
            <w:b w:val="0"/>
            <w:noProof/>
          </w:rPr>
          <w:tab/>
        </w:r>
        <w:r w:rsidRPr="006759F4">
          <w:rPr>
            <w:rStyle w:val="Hyperlink"/>
            <w:noProof/>
          </w:rPr>
          <w:t>Clear scenarios and evaluations (including agreed simulation assumptions) that support the need for simultaneous switching of group of UEs.</w:t>
        </w:r>
      </w:hyperlink>
    </w:p>
    <w:p w14:paraId="56003B64" w14:textId="4CE310F2" w:rsidR="00B332D4" w:rsidRDefault="00B332D4">
      <w:pPr>
        <w:pStyle w:val="TableofFigures"/>
        <w:tabs>
          <w:tab w:val="right" w:leader="dot" w:pos="9629"/>
        </w:tabs>
        <w:rPr>
          <w:rFonts w:asciiTheme="minorHAnsi" w:hAnsiTheme="minorHAnsi"/>
          <w:b w:val="0"/>
          <w:noProof/>
        </w:rPr>
      </w:pPr>
      <w:hyperlink w:anchor="_Toc83986736" w:history="1">
        <w:r w:rsidRPr="006759F4">
          <w:rPr>
            <w:rStyle w:val="Hyperlink"/>
            <w:noProof/>
          </w:rPr>
          <w:t>Proposal 2</w:t>
        </w:r>
        <w:r>
          <w:rPr>
            <w:rFonts w:asciiTheme="minorHAnsi" w:hAnsiTheme="minorHAnsi"/>
            <w:b w:val="0"/>
            <w:noProof/>
          </w:rPr>
          <w:tab/>
        </w:r>
        <w:r w:rsidRPr="006759F4">
          <w:rPr>
            <w:rStyle w:val="Hyperlink"/>
            <w:noProof/>
          </w:rPr>
          <w:t>Handle prediction-based BWP/beam management topic as part of the Rel-18 scope email discussion.</w:t>
        </w:r>
      </w:hyperlink>
    </w:p>
    <w:p w14:paraId="61F35D38" w14:textId="36220566" w:rsidR="00B332D4" w:rsidRDefault="00B332D4">
      <w:pPr>
        <w:pStyle w:val="TableofFigures"/>
        <w:tabs>
          <w:tab w:val="right" w:leader="dot" w:pos="9629"/>
        </w:tabs>
        <w:rPr>
          <w:rFonts w:asciiTheme="minorHAnsi" w:hAnsiTheme="minorHAnsi"/>
          <w:b w:val="0"/>
          <w:noProof/>
        </w:rPr>
      </w:pPr>
      <w:hyperlink w:anchor="_Toc83986737" w:history="1">
        <w:r w:rsidRPr="006759F4">
          <w:rPr>
            <w:rStyle w:val="Hyperlink"/>
            <w:noProof/>
          </w:rPr>
          <w:t>Proposal 3</w:t>
        </w:r>
        <w:r>
          <w:rPr>
            <w:rFonts w:asciiTheme="minorHAnsi" w:hAnsiTheme="minorHAnsi"/>
            <w:b w:val="0"/>
            <w:noProof/>
          </w:rPr>
          <w:tab/>
        </w:r>
        <w:r w:rsidRPr="006759F4">
          <w:rPr>
            <w:rStyle w:val="Hyperlink"/>
            <w:noProof/>
          </w:rPr>
          <w:t>Regarding BWP measurement enhancements for NTN beam management, the following aspects need to be studied first:</w:t>
        </w:r>
      </w:hyperlink>
    </w:p>
    <w:p w14:paraId="504C0AC7" w14:textId="7B954174" w:rsidR="00B332D4" w:rsidRDefault="00B332D4">
      <w:pPr>
        <w:pStyle w:val="TableofFigures"/>
        <w:tabs>
          <w:tab w:val="right" w:leader="dot" w:pos="9629"/>
        </w:tabs>
        <w:rPr>
          <w:rFonts w:asciiTheme="minorHAnsi" w:hAnsiTheme="minorHAnsi"/>
          <w:b w:val="0"/>
          <w:noProof/>
        </w:rPr>
      </w:pPr>
      <w:hyperlink w:anchor="_Toc83986738" w:history="1">
        <w:r w:rsidRPr="006759F4">
          <w:rPr>
            <w:rStyle w:val="Hyperlink"/>
            <w:noProof/>
          </w:rPr>
          <w:t>a)</w:t>
        </w:r>
        <w:r>
          <w:rPr>
            <w:rFonts w:asciiTheme="minorHAnsi" w:hAnsiTheme="minorHAnsi"/>
            <w:b w:val="0"/>
            <w:noProof/>
          </w:rPr>
          <w:tab/>
        </w:r>
        <w:r w:rsidRPr="006759F4">
          <w:rPr>
            <w:rStyle w:val="Hyperlink"/>
            <w:noProof/>
          </w:rPr>
          <w:t>The extent of specification impact that is required to introduce measurement gaps for L1 measurements should be evaluated.</w:t>
        </w:r>
      </w:hyperlink>
    </w:p>
    <w:p w14:paraId="1046618B" w14:textId="2FE54467" w:rsidR="00B332D4" w:rsidRDefault="00B332D4">
      <w:pPr>
        <w:pStyle w:val="TableofFigures"/>
        <w:tabs>
          <w:tab w:val="right" w:leader="dot" w:pos="9629"/>
        </w:tabs>
        <w:rPr>
          <w:rFonts w:asciiTheme="minorHAnsi" w:hAnsiTheme="minorHAnsi"/>
          <w:b w:val="0"/>
          <w:noProof/>
        </w:rPr>
      </w:pPr>
      <w:hyperlink w:anchor="_Toc83986739" w:history="1">
        <w:r w:rsidRPr="006759F4">
          <w:rPr>
            <w:rStyle w:val="Hyperlink"/>
            <w:noProof/>
          </w:rPr>
          <w:t>b)</w:t>
        </w:r>
        <w:r>
          <w:rPr>
            <w:rFonts w:asciiTheme="minorHAnsi" w:hAnsiTheme="minorHAnsi"/>
            <w:b w:val="0"/>
            <w:noProof/>
          </w:rPr>
          <w:tab/>
        </w:r>
        <w:r w:rsidRPr="006759F4">
          <w:rPr>
            <w:rStyle w:val="Hyperlink"/>
            <w:noProof/>
          </w:rPr>
          <w:t>Comparison between introducing measurement gaps for L1 measurements and utilizing BWP switching to perform the measurements.</w:t>
        </w:r>
      </w:hyperlink>
    </w:p>
    <w:p w14:paraId="7718BE86" w14:textId="4194BCB5" w:rsidR="00B332D4" w:rsidRDefault="00B332D4">
      <w:pPr>
        <w:pStyle w:val="TableofFigures"/>
        <w:tabs>
          <w:tab w:val="right" w:leader="dot" w:pos="9629"/>
        </w:tabs>
        <w:rPr>
          <w:rFonts w:asciiTheme="minorHAnsi" w:hAnsiTheme="minorHAnsi"/>
          <w:b w:val="0"/>
          <w:noProof/>
        </w:rPr>
      </w:pPr>
      <w:hyperlink w:anchor="_Toc83986740" w:history="1">
        <w:r w:rsidRPr="006759F4">
          <w:rPr>
            <w:rStyle w:val="Hyperlink"/>
            <w:noProof/>
          </w:rPr>
          <w:t>c)</w:t>
        </w:r>
        <w:r>
          <w:rPr>
            <w:rFonts w:asciiTheme="minorHAnsi" w:hAnsiTheme="minorHAnsi"/>
            <w:b w:val="0"/>
            <w:noProof/>
          </w:rPr>
          <w:tab/>
        </w:r>
        <w:r w:rsidRPr="006759F4">
          <w:rPr>
            <w:rStyle w:val="Hyperlink"/>
            <w:noProof/>
          </w:rPr>
          <w:t>UE capability for supporting L1 measurements outside active BWP</w:t>
        </w:r>
      </w:hyperlink>
    </w:p>
    <w:p w14:paraId="0B522141" w14:textId="7A5D70ED" w:rsidR="00B332D4" w:rsidRDefault="00B332D4">
      <w:pPr>
        <w:pStyle w:val="TableofFigures"/>
        <w:tabs>
          <w:tab w:val="right" w:leader="dot" w:pos="9629"/>
        </w:tabs>
        <w:rPr>
          <w:rFonts w:asciiTheme="minorHAnsi" w:hAnsiTheme="minorHAnsi"/>
          <w:b w:val="0"/>
          <w:noProof/>
        </w:rPr>
      </w:pPr>
      <w:hyperlink w:anchor="_Toc83986741" w:history="1">
        <w:r w:rsidRPr="006759F4">
          <w:rPr>
            <w:rStyle w:val="Hyperlink"/>
            <w:noProof/>
          </w:rPr>
          <w:t>Proposal 4</w:t>
        </w:r>
        <w:r>
          <w:rPr>
            <w:rFonts w:asciiTheme="minorHAnsi" w:hAnsiTheme="minorHAnsi"/>
            <w:b w:val="0"/>
            <w:noProof/>
          </w:rPr>
          <w:tab/>
        </w:r>
        <w:r w:rsidRPr="006759F4">
          <w:rPr>
            <w:rStyle w:val="Hyperlink"/>
            <w:noProof/>
          </w:rPr>
          <w:t xml:space="preserve">Handle </w:t>
        </w:r>
        <w:r w:rsidRPr="006759F4">
          <w:rPr>
            <w:rStyle w:val="Hyperlink"/>
            <w:rFonts w:cs="Arial"/>
            <w:noProof/>
          </w:rPr>
          <w:t>BWP measurement enhancement topic for NTN beam management</w:t>
        </w:r>
        <w:r w:rsidRPr="006759F4">
          <w:rPr>
            <w:rStyle w:val="Hyperlink"/>
            <w:noProof/>
          </w:rPr>
          <w:t xml:space="preserve"> as part of the Rel-18 scope email discussion.</w:t>
        </w:r>
      </w:hyperlink>
    </w:p>
    <w:p w14:paraId="68D276C7" w14:textId="4FD5E5C8" w:rsidR="00B332D4" w:rsidRDefault="00B332D4">
      <w:pPr>
        <w:pStyle w:val="TableofFigures"/>
        <w:tabs>
          <w:tab w:val="right" w:leader="dot" w:pos="9629"/>
        </w:tabs>
        <w:rPr>
          <w:rFonts w:asciiTheme="minorHAnsi" w:hAnsiTheme="minorHAnsi"/>
          <w:b w:val="0"/>
          <w:noProof/>
        </w:rPr>
      </w:pPr>
      <w:hyperlink w:anchor="_Toc83986742" w:history="1">
        <w:r w:rsidRPr="006759F4">
          <w:rPr>
            <w:rStyle w:val="Hyperlink"/>
            <w:noProof/>
          </w:rPr>
          <w:t>Proposal 5</w:t>
        </w:r>
        <w:r>
          <w:rPr>
            <w:rFonts w:asciiTheme="minorHAnsi" w:hAnsiTheme="minorHAnsi"/>
            <w:b w:val="0"/>
            <w:noProof/>
          </w:rPr>
          <w:tab/>
        </w:r>
        <w:r w:rsidRPr="006759F4">
          <w:rPr>
            <w:rStyle w:val="Hyperlink"/>
            <w:rFonts w:cs="Arial"/>
            <w:noProof/>
          </w:rPr>
          <w:t>Support signaling that allows the gNB to configure a UE’s polarization modes including the UE’s receive polarization mode in the DL and the UE’s transmit polarization mode in the UL.</w:t>
        </w:r>
      </w:hyperlink>
    </w:p>
    <w:p w14:paraId="6D23AB06" w14:textId="4812B9DC" w:rsidR="00B332D4" w:rsidRDefault="00B332D4">
      <w:pPr>
        <w:pStyle w:val="TableofFigures"/>
        <w:tabs>
          <w:tab w:val="right" w:leader="dot" w:pos="9629"/>
        </w:tabs>
        <w:rPr>
          <w:rFonts w:asciiTheme="minorHAnsi" w:hAnsiTheme="minorHAnsi"/>
          <w:b w:val="0"/>
          <w:noProof/>
        </w:rPr>
      </w:pPr>
      <w:hyperlink w:anchor="_Toc83986743" w:history="1">
        <w:r w:rsidRPr="006759F4">
          <w:rPr>
            <w:rStyle w:val="Hyperlink"/>
            <w:noProof/>
          </w:rPr>
          <w:t>Proposal 6</w:t>
        </w:r>
        <w:r>
          <w:rPr>
            <w:rFonts w:asciiTheme="minorHAnsi" w:hAnsiTheme="minorHAnsi"/>
            <w:b w:val="0"/>
            <w:noProof/>
          </w:rPr>
          <w:tab/>
        </w:r>
        <w:r w:rsidRPr="006759F4">
          <w:rPr>
            <w:rStyle w:val="Hyperlink"/>
            <w:rFonts w:cs="Arial"/>
            <w:noProof/>
          </w:rPr>
          <w:t>NTN UE should report its polarization capability (RHCP, LHCP, Linear) to the network.</w:t>
        </w:r>
      </w:hyperlink>
    </w:p>
    <w:p w14:paraId="0C64F341" w14:textId="3B0896E3" w:rsidR="00B332D4" w:rsidRDefault="00B332D4">
      <w:pPr>
        <w:pStyle w:val="TableofFigures"/>
        <w:tabs>
          <w:tab w:val="right" w:leader="dot" w:pos="9629"/>
        </w:tabs>
        <w:rPr>
          <w:rFonts w:asciiTheme="minorHAnsi" w:hAnsiTheme="minorHAnsi"/>
          <w:b w:val="0"/>
          <w:noProof/>
        </w:rPr>
      </w:pPr>
      <w:hyperlink w:anchor="_Toc83986744" w:history="1">
        <w:r w:rsidRPr="006759F4">
          <w:rPr>
            <w:rStyle w:val="Hyperlink"/>
            <w:noProof/>
          </w:rPr>
          <w:t>Proposal 7</w:t>
        </w:r>
        <w:r>
          <w:rPr>
            <w:rFonts w:asciiTheme="minorHAnsi" w:hAnsiTheme="minorHAnsi"/>
            <w:b w:val="0"/>
            <w:noProof/>
          </w:rPr>
          <w:tab/>
        </w:r>
        <w:r w:rsidRPr="006759F4">
          <w:rPr>
            <w:rStyle w:val="Hyperlink"/>
            <w:rFonts w:cs="Arial"/>
            <w:noProof/>
            <w:lang w:eastAsia="ja-JP"/>
          </w:rPr>
          <w:t>A first satellite providing coverage before a service link switch should assist UEs in RRC connected with signaling of the ephemeris of the second satellite providing coverage after the switch.</w:t>
        </w:r>
      </w:hyperlink>
    </w:p>
    <w:p w14:paraId="17D4B1A6" w14:textId="0AE52A22" w:rsidR="00B332D4" w:rsidRDefault="00B332D4">
      <w:pPr>
        <w:pStyle w:val="TableofFigures"/>
        <w:tabs>
          <w:tab w:val="right" w:leader="dot" w:pos="9629"/>
        </w:tabs>
        <w:rPr>
          <w:rFonts w:asciiTheme="minorHAnsi" w:hAnsiTheme="minorHAnsi"/>
          <w:b w:val="0"/>
          <w:noProof/>
        </w:rPr>
      </w:pPr>
      <w:hyperlink w:anchor="_Toc83986745" w:history="1">
        <w:r w:rsidRPr="006759F4">
          <w:rPr>
            <w:rStyle w:val="Hyperlink"/>
            <w:noProof/>
          </w:rPr>
          <w:t>Proposal 8</w:t>
        </w:r>
        <w:r>
          <w:rPr>
            <w:rFonts w:asciiTheme="minorHAnsi" w:hAnsiTheme="minorHAnsi"/>
            <w:b w:val="0"/>
            <w:noProof/>
          </w:rPr>
          <w:tab/>
        </w:r>
        <w:r w:rsidRPr="006759F4">
          <w:rPr>
            <w:rStyle w:val="Hyperlink"/>
            <w:noProof/>
          </w:rPr>
          <w:t>The NR network should be able to indicate the timing of the service link switch to UEs in RRC idle and RRC inactive modes.</w:t>
        </w:r>
      </w:hyperlink>
    </w:p>
    <w:p w14:paraId="55AFE726" w14:textId="275C5F35" w:rsidR="00B332D4" w:rsidRDefault="00B332D4">
      <w:pPr>
        <w:pStyle w:val="TableofFigures"/>
        <w:tabs>
          <w:tab w:val="right" w:leader="dot" w:pos="9629"/>
        </w:tabs>
        <w:rPr>
          <w:rFonts w:asciiTheme="minorHAnsi" w:hAnsiTheme="minorHAnsi"/>
          <w:b w:val="0"/>
          <w:noProof/>
        </w:rPr>
      </w:pPr>
      <w:hyperlink w:anchor="_Toc83986746" w:history="1">
        <w:r w:rsidRPr="006759F4">
          <w:rPr>
            <w:rStyle w:val="Hyperlink"/>
            <w:noProof/>
          </w:rPr>
          <w:t>Proposal 9</w:t>
        </w:r>
        <w:r>
          <w:rPr>
            <w:rFonts w:asciiTheme="minorHAnsi" w:hAnsiTheme="minorHAnsi"/>
            <w:b w:val="0"/>
            <w:noProof/>
          </w:rPr>
          <w:tab/>
        </w:r>
        <w:r w:rsidRPr="006759F4">
          <w:rPr>
            <w:rStyle w:val="Hyperlink"/>
            <w:noProof/>
          </w:rPr>
          <w:t>RAN1 to conclude that there is no specification change needed to support same beam layout in BWP#0 and BWP#x (Option 1) and hierarchical beam for BWP#0 (Option 2).</w:t>
        </w:r>
      </w:hyperlink>
    </w:p>
    <w:p w14:paraId="58437F56" w14:textId="01B7886A" w:rsidR="00B332D4" w:rsidRDefault="00B332D4">
      <w:pPr>
        <w:pStyle w:val="TableofFigures"/>
        <w:tabs>
          <w:tab w:val="right" w:leader="dot" w:pos="9629"/>
        </w:tabs>
        <w:rPr>
          <w:rFonts w:asciiTheme="minorHAnsi" w:hAnsiTheme="minorHAnsi"/>
          <w:b w:val="0"/>
          <w:noProof/>
        </w:rPr>
      </w:pPr>
      <w:hyperlink w:anchor="_Toc83986747" w:history="1">
        <w:r w:rsidRPr="006759F4">
          <w:rPr>
            <w:rStyle w:val="Hyperlink"/>
            <w:noProof/>
          </w:rPr>
          <w:t>Proposal 10</w:t>
        </w:r>
        <w:r>
          <w:rPr>
            <w:rFonts w:asciiTheme="minorHAnsi" w:hAnsiTheme="minorHAnsi"/>
            <w:b w:val="0"/>
            <w:noProof/>
          </w:rPr>
          <w:tab/>
        </w:r>
        <w:r w:rsidRPr="006759F4">
          <w:rPr>
            <w:rStyle w:val="Hyperlink"/>
            <w:noProof/>
          </w:rPr>
          <w:t>Regarding UE Autonomous beam switching, the following aspects need to be studied first:</w:t>
        </w:r>
      </w:hyperlink>
    </w:p>
    <w:p w14:paraId="3078DA9D" w14:textId="012F1581" w:rsidR="00B332D4" w:rsidRDefault="00B332D4">
      <w:pPr>
        <w:pStyle w:val="TableofFigures"/>
        <w:tabs>
          <w:tab w:val="right" w:leader="dot" w:pos="9629"/>
        </w:tabs>
        <w:rPr>
          <w:rFonts w:asciiTheme="minorHAnsi" w:hAnsiTheme="minorHAnsi"/>
          <w:b w:val="0"/>
          <w:noProof/>
        </w:rPr>
      </w:pPr>
      <w:hyperlink w:anchor="_Toc83986748" w:history="1">
        <w:r w:rsidRPr="006759F4">
          <w:rPr>
            <w:rStyle w:val="Hyperlink"/>
            <w:noProof/>
          </w:rPr>
          <w:t>a)</w:t>
        </w:r>
        <w:r>
          <w:rPr>
            <w:rFonts w:asciiTheme="minorHAnsi" w:hAnsiTheme="minorHAnsi"/>
            <w:b w:val="0"/>
            <w:noProof/>
          </w:rPr>
          <w:tab/>
        </w:r>
        <w:r w:rsidRPr="006759F4">
          <w:rPr>
            <w:rStyle w:val="Hyperlink"/>
            <w:noProof/>
          </w:rPr>
          <w:t>Investigation of the needed assistance information and assessment of the amount of specification effort.</w:t>
        </w:r>
      </w:hyperlink>
    </w:p>
    <w:p w14:paraId="276780BE" w14:textId="11F80532" w:rsidR="00B332D4" w:rsidRDefault="00B332D4">
      <w:pPr>
        <w:pStyle w:val="TableofFigures"/>
        <w:tabs>
          <w:tab w:val="right" w:leader="dot" w:pos="9629"/>
        </w:tabs>
        <w:rPr>
          <w:rFonts w:asciiTheme="minorHAnsi" w:hAnsiTheme="minorHAnsi"/>
          <w:b w:val="0"/>
          <w:noProof/>
        </w:rPr>
      </w:pPr>
      <w:hyperlink w:anchor="_Toc83986749" w:history="1">
        <w:r w:rsidRPr="006759F4">
          <w:rPr>
            <w:rStyle w:val="Hyperlink"/>
            <w:noProof/>
          </w:rPr>
          <w:t>b)</w:t>
        </w:r>
        <w:r>
          <w:rPr>
            <w:rFonts w:asciiTheme="minorHAnsi" w:hAnsiTheme="minorHAnsi"/>
            <w:b w:val="0"/>
            <w:noProof/>
          </w:rPr>
          <w:tab/>
        </w:r>
        <w:r w:rsidRPr="006759F4">
          <w:rPr>
            <w:rStyle w:val="Hyperlink"/>
            <w:noProof/>
          </w:rPr>
          <w:t>The signaling overhead introduced by providing assistance information versus that of the current switching methods.</w:t>
        </w:r>
      </w:hyperlink>
    </w:p>
    <w:p w14:paraId="48C2CC58" w14:textId="654EA8C1" w:rsidR="00B332D4" w:rsidRDefault="00B332D4">
      <w:pPr>
        <w:pStyle w:val="TableofFigures"/>
        <w:tabs>
          <w:tab w:val="right" w:leader="dot" w:pos="9629"/>
        </w:tabs>
        <w:rPr>
          <w:rFonts w:asciiTheme="minorHAnsi" w:hAnsiTheme="minorHAnsi"/>
          <w:b w:val="0"/>
          <w:noProof/>
        </w:rPr>
      </w:pPr>
      <w:hyperlink w:anchor="_Toc83986750" w:history="1">
        <w:r w:rsidRPr="006759F4">
          <w:rPr>
            <w:rStyle w:val="Hyperlink"/>
            <w:noProof/>
          </w:rPr>
          <w:t>c)</w:t>
        </w:r>
        <w:r>
          <w:rPr>
            <w:rFonts w:asciiTheme="minorHAnsi" w:hAnsiTheme="minorHAnsi"/>
            <w:b w:val="0"/>
            <w:noProof/>
          </w:rPr>
          <w:tab/>
        </w:r>
        <w:r w:rsidRPr="006759F4">
          <w:rPr>
            <w:rStyle w:val="Hyperlink"/>
            <w:noProof/>
          </w:rPr>
          <w:t>The signaling delay introduced by providing assistance information versus that of the current switching methods.</w:t>
        </w:r>
      </w:hyperlink>
    </w:p>
    <w:p w14:paraId="7FDB652A" w14:textId="74262535" w:rsidR="009F06A5" w:rsidRPr="00F36C74" w:rsidRDefault="009F06A5" w:rsidP="00EC6E20">
      <w:pPr>
        <w:jc w:val="both"/>
        <w:rPr>
          <w:highlight w:val="yellow"/>
        </w:rPr>
      </w:pPr>
      <w:r w:rsidRPr="00F36C74">
        <w:rPr>
          <w:b/>
          <w:bCs/>
        </w:rPr>
        <w:fldChar w:fldCharType="end"/>
      </w:r>
    </w:p>
    <w:p w14:paraId="43055322" w14:textId="1A950341" w:rsidR="00185E4A" w:rsidRPr="00DF3509" w:rsidRDefault="00F507D1" w:rsidP="00114AE3">
      <w:pPr>
        <w:pStyle w:val="Heading1"/>
        <w:rPr>
          <w:lang w:val="en-US"/>
        </w:rPr>
      </w:pPr>
      <w:bookmarkStart w:id="25" w:name="_In-sequence_SDU_delivery"/>
      <w:bookmarkEnd w:id="25"/>
      <w:r w:rsidRPr="00DF3509">
        <w:rPr>
          <w:lang w:val="en-US"/>
        </w:rPr>
        <w:t>References</w:t>
      </w:r>
      <w:bookmarkStart w:id="26" w:name="_Ref510504022"/>
      <w:bookmarkStart w:id="27" w:name="_Ref510814820"/>
      <w:bookmarkStart w:id="28" w:name="_Ref174151459"/>
      <w:bookmarkStart w:id="29" w:name="_Ref189809556"/>
    </w:p>
    <w:p w14:paraId="6FDAFAD3" w14:textId="4C36E2AF" w:rsidR="0081032C" w:rsidRDefault="00F36C74" w:rsidP="00F36C74">
      <w:pPr>
        <w:pStyle w:val="Reference"/>
      </w:pPr>
      <w:bookmarkStart w:id="30" w:name="_Ref79161688"/>
      <w:bookmarkEnd w:id="26"/>
      <w:bookmarkEnd w:id="27"/>
      <w:bookmarkEnd w:id="28"/>
      <w:bookmarkEnd w:id="29"/>
      <w:r w:rsidRPr="00A85EAA">
        <w:t>RP-2</w:t>
      </w:r>
      <w:r>
        <w:t>11557</w:t>
      </w:r>
      <w:r w:rsidRPr="00A85EAA">
        <w:t>, “</w:t>
      </w:r>
      <w:r w:rsidRPr="00A85EAA">
        <w:rPr>
          <w:rFonts w:eastAsia="Batang" w:cs="Arial"/>
        </w:rPr>
        <w:t>Solutions for NR to support non-terrestrial networks (NTN),</w:t>
      </w:r>
      <w:r w:rsidRPr="00A85EAA">
        <w:t>” 3GPP TSG RAN #</w:t>
      </w:r>
      <w:r>
        <w:t>92-</w:t>
      </w:r>
      <w:r w:rsidRPr="00A85EAA">
        <w:t xml:space="preserve">e, </w:t>
      </w:r>
      <w:r>
        <w:t>June</w:t>
      </w:r>
      <w:r w:rsidRPr="00A85EAA">
        <w:t xml:space="preserve"> 202</w:t>
      </w:r>
      <w:r>
        <w:t>1</w:t>
      </w:r>
      <w:r w:rsidRPr="00A85EAA">
        <w:t>.</w:t>
      </w:r>
      <w:bookmarkEnd w:id="30"/>
    </w:p>
    <w:p w14:paraId="3E8253A5" w14:textId="77777777" w:rsidR="004F5B6C" w:rsidRDefault="004F5B6C" w:rsidP="004F5B6C">
      <w:pPr>
        <w:pStyle w:val="Reference"/>
      </w:pPr>
      <w:bookmarkStart w:id="31" w:name="_Ref76364594"/>
      <w:bookmarkStart w:id="32" w:name="_Ref83548415"/>
      <w:r w:rsidRPr="006A6F89">
        <w:t xml:space="preserve">X. Lin, S. Rommer, S. Euler, E. A. Yavuz, and R. S. Karlsson, </w:t>
      </w:r>
      <w:r>
        <w:t>“</w:t>
      </w:r>
      <w:r w:rsidRPr="006A6F89">
        <w:t>5G from space: An overview of 3GPP non-terrestrial networks,</w:t>
      </w:r>
      <w:r>
        <w:t xml:space="preserve">” to appear in </w:t>
      </w:r>
      <w:r w:rsidRPr="0099270A">
        <w:rPr>
          <w:i/>
          <w:iCs/>
        </w:rPr>
        <w:t>IEEE Communications Standards Magazine</w:t>
      </w:r>
      <w:r w:rsidRPr="006A6F89">
        <w:t>, March 2021</w:t>
      </w:r>
      <w:bookmarkEnd w:id="31"/>
      <w:r>
        <w:t xml:space="preserve">. Available at </w:t>
      </w:r>
      <w:r w:rsidRPr="006A6F89">
        <w:t>arXiv preprint arXiv:2103.09156</w:t>
      </w:r>
      <w:r>
        <w:t>.</w:t>
      </w:r>
      <w:bookmarkEnd w:id="32"/>
    </w:p>
    <w:p w14:paraId="70A329AA" w14:textId="260DB057" w:rsidR="004F5B6C" w:rsidRPr="004F5B6C" w:rsidRDefault="004F5B6C" w:rsidP="004F5B6C">
      <w:pPr>
        <w:pStyle w:val="Reference"/>
        <w:rPr>
          <w:rFonts w:ascii="Calibri" w:hAnsi="Calibri" w:cs="Calibri"/>
        </w:rPr>
      </w:pPr>
      <w:bookmarkStart w:id="33" w:name="_Ref82507023"/>
      <w:r>
        <w:t xml:space="preserve">X. Lin, S. </w:t>
      </w:r>
      <w:proofErr w:type="spellStart"/>
      <w:r>
        <w:t>Cioni</w:t>
      </w:r>
      <w:proofErr w:type="spellEnd"/>
      <w:r>
        <w:t xml:space="preserve">, G. </w:t>
      </w:r>
      <w:proofErr w:type="spellStart"/>
      <w:r>
        <w:t>Charbit</w:t>
      </w:r>
      <w:proofErr w:type="spellEnd"/>
      <w:r>
        <w:t xml:space="preserve">, N. </w:t>
      </w:r>
      <w:proofErr w:type="spellStart"/>
      <w:r>
        <w:t>Chuberre</w:t>
      </w:r>
      <w:proofErr w:type="spellEnd"/>
      <w:r>
        <w:t xml:space="preserve">, S. Hellsten, and J.-F. </w:t>
      </w:r>
      <w:proofErr w:type="spellStart"/>
      <w:r>
        <w:t>Boutillon</w:t>
      </w:r>
      <w:proofErr w:type="spellEnd"/>
      <w:r>
        <w:t xml:space="preserve">, “On the path to 6G: Embracing the next wave of low Earth orbit satellite access,” to appear in </w:t>
      </w:r>
      <w:r w:rsidRPr="007C795F">
        <w:rPr>
          <w:i/>
          <w:iCs/>
        </w:rPr>
        <w:t>IEEE Communications Magazine</w:t>
      </w:r>
      <w:r>
        <w:t xml:space="preserve">, April 2021. Available at </w:t>
      </w:r>
      <w:r w:rsidRPr="00F20B90">
        <w:t>arXiv preprint arXiv:2104.10533</w:t>
      </w:r>
      <w:r>
        <w:t>.</w:t>
      </w:r>
      <w:bookmarkEnd w:id="33"/>
    </w:p>
    <w:p w14:paraId="0AD9171F" w14:textId="46444CCD" w:rsidR="007434CD" w:rsidRPr="00F36C74" w:rsidRDefault="00DF6B3F" w:rsidP="007434CD">
      <w:pPr>
        <w:pStyle w:val="Reference"/>
      </w:pPr>
      <w:bookmarkStart w:id="34" w:name="_Ref61719569"/>
      <w:r w:rsidRPr="00F36C74">
        <w:t xml:space="preserve">X. Lin, D. Yu, and H. Wiemann, “A primer on bandwidth parts in 5G new radio,” in 5G and Beyond: Fundamentals and Standards, X. Lin and N. Lee, Eds. Springer, 2021. </w:t>
      </w:r>
      <w:bookmarkEnd w:id="34"/>
      <w:r w:rsidRPr="00F36C74">
        <w:t xml:space="preserve">Available at </w:t>
      </w:r>
      <w:hyperlink r:id="rId11" w:history="1">
        <w:r w:rsidR="00D504A3" w:rsidRPr="00F36C74">
          <w:rPr>
            <w:rStyle w:val="Hyperlink"/>
          </w:rPr>
          <w:t>https://link.springer.com/chapter/10.1007/978-3-030-58197-8_12</w:t>
        </w:r>
      </w:hyperlink>
      <w:r w:rsidR="00D504A3" w:rsidRPr="00F36C74">
        <w:t xml:space="preserve"> </w:t>
      </w:r>
    </w:p>
    <w:p w14:paraId="51769753" w14:textId="0BA2B763" w:rsidR="001F576A" w:rsidRDefault="00271A3B" w:rsidP="00B550B2">
      <w:pPr>
        <w:pStyle w:val="Reference"/>
        <w:rPr>
          <w:rFonts w:cs="Arial"/>
        </w:rPr>
      </w:pPr>
      <w:bookmarkStart w:id="35" w:name="_Ref60912644"/>
      <w:r w:rsidRPr="00F36C74">
        <w:rPr>
          <w:rFonts w:cs="Arial"/>
        </w:rPr>
        <w:t>R1-2009736, “Summary #4 of 8.4.4 Other Aspects of NR-NTN</w:t>
      </w:r>
      <w:r w:rsidR="00D84C78" w:rsidRPr="00F36C74">
        <w:rPr>
          <w:rFonts w:cs="Arial"/>
        </w:rPr>
        <w:t>,</w:t>
      </w:r>
      <w:r w:rsidRPr="00F36C74">
        <w:rPr>
          <w:rFonts w:cs="Arial"/>
        </w:rPr>
        <w:t>”</w:t>
      </w:r>
      <w:r w:rsidRPr="00F36C74">
        <w:rPr>
          <w:rFonts w:cs="Arial"/>
        </w:rPr>
        <w:tab/>
        <w:t>MediaTek, November 2020.</w:t>
      </w:r>
      <w:bookmarkEnd w:id="35"/>
    </w:p>
    <w:p w14:paraId="7C62045D" w14:textId="4969297A" w:rsidR="00B83D8A" w:rsidRDefault="00B83D8A" w:rsidP="00B83D8A">
      <w:pPr>
        <w:pStyle w:val="Reference"/>
        <w:numPr>
          <w:ilvl w:val="0"/>
          <w:numId w:val="0"/>
        </w:numPr>
        <w:ind w:left="567" w:hanging="567"/>
        <w:rPr>
          <w:rFonts w:cs="Arial"/>
        </w:rPr>
      </w:pPr>
    </w:p>
    <w:p w14:paraId="6268F879" w14:textId="552A16C7" w:rsidR="00B83D8A" w:rsidRDefault="00B83D8A" w:rsidP="00B83D8A">
      <w:pPr>
        <w:pStyle w:val="Heading1"/>
      </w:pPr>
      <w:r>
        <w:lastRenderedPageBreak/>
        <w:t>Appendix</w:t>
      </w:r>
      <w:r w:rsidR="0091535F">
        <w:t xml:space="preserve"> </w:t>
      </w:r>
      <w:r w:rsidR="00056B2E">
        <w:t>A</w:t>
      </w:r>
    </w:p>
    <w:p w14:paraId="3B8FFE37" w14:textId="31F99570" w:rsidR="006B7A24" w:rsidRPr="00A94C7B" w:rsidRDefault="006B7A24" w:rsidP="006B7A24">
      <w:pPr>
        <w:pStyle w:val="Heading2"/>
        <w:rPr>
          <w:lang w:val="en-US"/>
        </w:rPr>
      </w:pPr>
      <w:r>
        <w:t>A.1</w:t>
      </w:r>
      <w:r w:rsidRPr="00A94C7B">
        <w:rPr>
          <w:lang w:val="en-US"/>
        </w:rPr>
        <w:tab/>
        <w:t>Service link switching using NR beam management</w:t>
      </w:r>
    </w:p>
    <w:p w14:paraId="1E186730" w14:textId="77777777" w:rsidR="006B7A24" w:rsidRPr="00F36C74" w:rsidRDefault="006B7A24" w:rsidP="006B7A24">
      <w:pPr>
        <w:jc w:val="both"/>
        <w:rPr>
          <w:rFonts w:ascii="Arial" w:hAnsi="Arial" w:cs="Arial"/>
          <w:lang w:eastAsia="ja-JP"/>
        </w:rPr>
      </w:pPr>
      <w:r w:rsidRPr="00F36C74">
        <w:rPr>
          <w:rFonts w:ascii="Arial" w:hAnsi="Arial" w:cs="Arial"/>
          <w:lang w:eastAsia="ja-JP"/>
        </w:rPr>
        <w:t>One of the two motivated use cases for BM/BWP related enhancements is service link switching. We discuss the necessity of utilizing NR BM framework for this issue in this subsection.</w:t>
      </w:r>
    </w:p>
    <w:p w14:paraId="293B62CC" w14:textId="77777777" w:rsidR="006B7A24" w:rsidRPr="00DF3509" w:rsidRDefault="006B7A24" w:rsidP="006B7A24">
      <w:pPr>
        <w:jc w:val="both"/>
        <w:rPr>
          <w:rFonts w:ascii="Arial" w:hAnsi="Arial" w:cs="Arial"/>
          <w:lang w:eastAsia="ja-JP"/>
        </w:rPr>
      </w:pPr>
      <w:r w:rsidRPr="001C50DB">
        <w:rPr>
          <w:rFonts w:ascii="Arial" w:hAnsi="Arial" w:cs="Arial"/>
          <w:lang w:eastAsia="ja-JP"/>
        </w:rPr>
        <w:t>For LEO earth</w:t>
      </w:r>
      <w:r w:rsidRPr="004058FC">
        <w:rPr>
          <w:rFonts w:ascii="Arial" w:hAnsi="Arial" w:cs="Arial"/>
          <w:lang w:eastAsia="ja-JP"/>
        </w:rPr>
        <w:t>-fixed beams, NR needs to manage a frequent switching of the service link, from a first serving satellite to a second serving satellite.</w:t>
      </w:r>
      <w:r w:rsidRPr="004361AE">
        <w:rPr>
          <w:rFonts w:ascii="Arial" w:hAnsi="Arial" w:cs="Arial"/>
          <w:lang w:eastAsia="ja-JP"/>
        </w:rPr>
        <w:t xml:space="preserve"> Since this switching of the service links associated with different satellites can occur as frequent</w:t>
      </w:r>
      <w:r w:rsidRPr="00337365">
        <w:rPr>
          <w:rFonts w:ascii="Arial" w:hAnsi="Arial" w:cs="Arial"/>
          <w:lang w:eastAsia="ja-JP"/>
        </w:rPr>
        <w:t>l</w:t>
      </w:r>
      <w:r w:rsidRPr="00DF3509">
        <w:rPr>
          <w:rFonts w:ascii="Arial" w:hAnsi="Arial" w:cs="Arial"/>
          <w:lang w:eastAsia="ja-JP"/>
        </w:rPr>
        <w:t>y as about once every 1-10 minutes depending on</w:t>
      </w:r>
      <w:r>
        <w:rPr>
          <w:rFonts w:ascii="Arial" w:hAnsi="Arial" w:cs="Arial"/>
          <w:lang w:eastAsia="ja-JP"/>
        </w:rPr>
        <w:t>,</w:t>
      </w:r>
      <w:r w:rsidRPr="00DF3509">
        <w:rPr>
          <w:rFonts w:ascii="Arial" w:hAnsi="Arial" w:cs="Arial"/>
          <w:lang w:eastAsia="ja-JP"/>
        </w:rPr>
        <w:t xml:space="preserve"> e.g.</w:t>
      </w:r>
      <w:r>
        <w:rPr>
          <w:rFonts w:ascii="Arial" w:hAnsi="Arial" w:cs="Arial"/>
          <w:lang w:eastAsia="ja-JP"/>
        </w:rPr>
        <w:t>,</w:t>
      </w:r>
      <w:r w:rsidRPr="00DF3509">
        <w:rPr>
          <w:rFonts w:ascii="Arial" w:hAnsi="Arial" w:cs="Arial"/>
          <w:lang w:eastAsia="ja-JP"/>
        </w:rPr>
        <w:t xml:space="preserve"> target operational elevation angle, a solution for managing this scenario for UEs in RRC connected is required. To support this scenario, handover-based mobility management can be used. There are also proposals that NR beam management framework can be used to reduce the overhead associated with handover.</w:t>
      </w:r>
    </w:p>
    <w:p w14:paraId="3E4C4A0C" w14:textId="77777777" w:rsidR="006B7A24" w:rsidRPr="00DF3509" w:rsidRDefault="006B7A24" w:rsidP="006B7A24">
      <w:pPr>
        <w:jc w:val="both"/>
        <w:rPr>
          <w:rFonts w:ascii="Arial" w:hAnsi="Arial" w:cs="Arial"/>
          <w:lang w:eastAsia="en-GB"/>
        </w:rPr>
      </w:pPr>
      <w:r w:rsidRPr="00DF3509">
        <w:rPr>
          <w:rFonts w:ascii="Arial" w:hAnsi="Arial" w:cs="Arial"/>
          <w:lang w:eastAsia="en-GB"/>
        </w:rPr>
        <w:t xml:space="preserve">Satellite devices are in many cases equipped with highly directive beams with gains exceeding 40 </w:t>
      </w:r>
      <w:proofErr w:type="spellStart"/>
      <w:r w:rsidRPr="00DF3509">
        <w:rPr>
          <w:rFonts w:ascii="Arial" w:hAnsi="Arial" w:cs="Arial"/>
          <w:lang w:eastAsia="en-GB"/>
        </w:rPr>
        <w:t>dBi</w:t>
      </w:r>
      <w:proofErr w:type="spellEnd"/>
      <w:r w:rsidRPr="00DF3509">
        <w:rPr>
          <w:rFonts w:ascii="Arial" w:hAnsi="Arial" w:cs="Arial"/>
          <w:lang w:eastAsia="en-GB"/>
        </w:rPr>
        <w:t xml:space="preserve"> with 3-dB beam widths of around 1º. Due to this, it will be challenging for a satellite device to autonomously and rapidly detect reference signals, e.g.</w:t>
      </w:r>
      <w:r>
        <w:rPr>
          <w:rFonts w:ascii="Arial" w:hAnsi="Arial" w:cs="Arial"/>
          <w:lang w:eastAsia="en-GB"/>
        </w:rPr>
        <w:t>,</w:t>
      </w:r>
      <w:r w:rsidRPr="004361AE">
        <w:rPr>
          <w:rFonts w:ascii="Arial" w:hAnsi="Arial" w:cs="Arial"/>
          <w:lang w:eastAsia="en-GB"/>
        </w:rPr>
        <w:t xml:space="preserve"> SSBs, from </w:t>
      </w:r>
      <w:r w:rsidRPr="003D6969">
        <w:rPr>
          <w:rFonts w:ascii="Arial" w:hAnsi="Arial" w:cs="Arial"/>
          <w:lang w:eastAsia="en-GB"/>
        </w:rPr>
        <w:t xml:space="preserve">target satellite, </w:t>
      </w:r>
      <w:r>
        <w:rPr>
          <w:rFonts w:ascii="Arial" w:hAnsi="Arial" w:cs="Arial"/>
          <w:lang w:eastAsia="en-GB"/>
        </w:rPr>
        <w:t xml:space="preserve">and </w:t>
      </w:r>
      <w:r w:rsidRPr="003D6969">
        <w:rPr>
          <w:rFonts w:ascii="Arial" w:hAnsi="Arial" w:cs="Arial"/>
          <w:lang w:eastAsia="en-GB"/>
        </w:rPr>
        <w:t>point its receive and transmit beam towards the new satellite. To facilitate the switch and find the new satellite</w:t>
      </w:r>
      <w:r w:rsidRPr="00337365">
        <w:rPr>
          <w:rFonts w:ascii="Arial" w:hAnsi="Arial" w:cs="Arial"/>
          <w:lang w:eastAsia="en-GB"/>
        </w:rPr>
        <w:t>,</w:t>
      </w:r>
      <w:r w:rsidRPr="00DF3509">
        <w:rPr>
          <w:rFonts w:ascii="Arial" w:hAnsi="Arial" w:cs="Arial"/>
          <w:lang w:eastAsia="en-GB"/>
        </w:rPr>
        <w:t xml:space="preserve"> we believe that the network, i.e.</w:t>
      </w:r>
      <w:r>
        <w:rPr>
          <w:rFonts w:ascii="Arial" w:hAnsi="Arial" w:cs="Arial"/>
          <w:lang w:eastAsia="en-GB"/>
        </w:rPr>
        <w:t>,</w:t>
      </w:r>
      <w:r w:rsidRPr="004361AE">
        <w:rPr>
          <w:rFonts w:ascii="Arial" w:hAnsi="Arial" w:cs="Arial"/>
          <w:lang w:eastAsia="en-GB"/>
        </w:rPr>
        <w:t xml:space="preserve"> source satellite, should indicate the ephemeris of the target satellite. If NR beam management framework can be used to support the switching of the service links associated with different satellites, the TCI state and spatial relations can then be as</w:t>
      </w:r>
      <w:r w:rsidRPr="00337365">
        <w:rPr>
          <w:rFonts w:ascii="Arial" w:hAnsi="Arial" w:cs="Arial"/>
          <w:lang w:eastAsia="en-GB"/>
        </w:rPr>
        <w:t>sociated w</w:t>
      </w:r>
      <w:r w:rsidRPr="00DF3509">
        <w:rPr>
          <w:rFonts w:ascii="Arial" w:hAnsi="Arial" w:cs="Arial"/>
          <w:lang w:eastAsia="en-GB"/>
        </w:rPr>
        <w:t xml:space="preserve">ith the satellite ephemeris.  </w:t>
      </w:r>
    </w:p>
    <w:p w14:paraId="0FC18E45" w14:textId="77777777" w:rsidR="006B7A24" w:rsidRPr="00DF3509" w:rsidRDefault="006B7A24" w:rsidP="006B7A24">
      <w:pPr>
        <w:pStyle w:val="Proposal"/>
      </w:pPr>
      <w:bookmarkStart w:id="36" w:name="_Toc83986744"/>
      <w:r w:rsidRPr="00DF3509">
        <w:rPr>
          <w:rFonts w:cs="Arial"/>
          <w:lang w:eastAsia="ja-JP"/>
        </w:rPr>
        <w:t>A first satellite providing coverage before a service link switch should assist UEs in RRC connected with signaling of the ephemeris of the second satellite providing coverage after the switch.</w:t>
      </w:r>
      <w:bookmarkEnd w:id="36"/>
    </w:p>
    <w:p w14:paraId="0F7BB3BA" w14:textId="77777777" w:rsidR="006B7A24" w:rsidRPr="00DF3509" w:rsidRDefault="006B7A24" w:rsidP="006B7A24">
      <w:pPr>
        <w:jc w:val="both"/>
        <w:rPr>
          <w:rFonts w:ascii="Arial" w:hAnsi="Arial" w:cs="Arial"/>
          <w:lang w:eastAsia="en-GB"/>
        </w:rPr>
      </w:pPr>
      <w:r w:rsidRPr="00DF3509">
        <w:rPr>
          <w:rFonts w:ascii="Arial" w:hAnsi="Arial" w:cs="Arial"/>
          <w:lang w:eastAsia="en-GB"/>
        </w:rPr>
        <w:t>Finally, we believe that a UE should refrain from initiating an RRC connection towards a satellite that is just about to hand over its service link to a next satellite. Doing so may reduce unnecessary network signaling, reduce PRACH transmissions from UEs, and obviously eliminate the service link switch which may pose as a weak link in an RRC connection. To support this functionality, the network may indicate to the UEs in RRC idle that it will soon initiate a service link switch.</w:t>
      </w:r>
    </w:p>
    <w:p w14:paraId="17AAA510" w14:textId="77777777" w:rsidR="006B7A24" w:rsidRPr="00DF3509" w:rsidRDefault="006B7A24" w:rsidP="006B7A24">
      <w:pPr>
        <w:pStyle w:val="Proposal"/>
      </w:pPr>
      <w:bookmarkStart w:id="37" w:name="_Toc83986745"/>
      <w:r w:rsidRPr="00DF3509">
        <w:t>The NR network should be able to indicate the timing of the service link switch to UEs in RRC idle and RRC inactive modes.</w:t>
      </w:r>
      <w:bookmarkEnd w:id="37"/>
    </w:p>
    <w:p w14:paraId="088B1D06" w14:textId="136A0A05" w:rsidR="006B7A24" w:rsidRPr="00A94C7B" w:rsidRDefault="006B7A24" w:rsidP="006B7A24">
      <w:pPr>
        <w:pStyle w:val="Heading2"/>
        <w:rPr>
          <w:lang w:val="en-US"/>
        </w:rPr>
      </w:pPr>
      <w:r>
        <w:rPr>
          <w:lang w:val="en-US"/>
        </w:rPr>
        <w:t>A.2</w:t>
      </w:r>
      <w:r w:rsidRPr="00A94C7B">
        <w:rPr>
          <w:lang w:val="en-US"/>
        </w:rPr>
        <w:tab/>
        <w:t>Beam and BWP association for frequency reuse scenario</w:t>
      </w:r>
    </w:p>
    <w:p w14:paraId="5BE52A39" w14:textId="77777777" w:rsidR="006B7A24" w:rsidRPr="00DF3509" w:rsidRDefault="006B7A24" w:rsidP="006B7A24">
      <w:pPr>
        <w:jc w:val="both"/>
        <w:rPr>
          <w:rFonts w:ascii="Arial" w:hAnsi="Arial" w:cs="Arial"/>
        </w:rPr>
      </w:pPr>
      <w:r w:rsidRPr="00F36C74">
        <w:rPr>
          <w:rFonts w:ascii="Arial" w:hAnsi="Arial" w:cs="Arial"/>
        </w:rPr>
        <w:t>The other main BM/BWP related enhancement is providing Frequency Reuse Factor (FRF) larger than 1 within the same cell footprint for interference mitigation for NTN</w:t>
      </w:r>
      <w:r w:rsidRPr="001C50DB">
        <w:rPr>
          <w:rFonts w:ascii="Arial" w:hAnsi="Arial" w:cs="Arial"/>
        </w:rPr>
        <w:t xml:space="preserve">. </w:t>
      </w:r>
      <w:r w:rsidRPr="004058FC">
        <w:rPr>
          <w:rFonts w:ascii="Arial" w:hAnsi="Arial" w:cs="Arial"/>
        </w:rPr>
        <w:t>In this case, each cell is divided into and covered with multiple beams</w:t>
      </w:r>
      <w:r w:rsidRPr="004361AE">
        <w:rPr>
          <w:rFonts w:ascii="Arial" w:hAnsi="Arial" w:cs="Arial"/>
        </w:rPr>
        <w:t xml:space="preserve"> and each</w:t>
      </w:r>
      <w:r w:rsidRPr="003D6969">
        <w:rPr>
          <w:rFonts w:ascii="Arial" w:hAnsi="Arial" w:cs="Arial"/>
        </w:rPr>
        <w:t xml:space="preserve"> beam is</w:t>
      </w:r>
      <w:r w:rsidRPr="00337365">
        <w:rPr>
          <w:rFonts w:ascii="Arial" w:hAnsi="Arial" w:cs="Arial"/>
        </w:rPr>
        <w:t xml:space="preserve"> associated with a BWP</w:t>
      </w:r>
      <w:r w:rsidRPr="00DF3509">
        <w:rPr>
          <w:rFonts w:ascii="Arial" w:hAnsi="Arial" w:cs="Arial"/>
        </w:rPr>
        <w:t>. To realize the frequency reuse, neighbor beams are assigned with different BWP indices. Figure 1 illustrates an example deployment of this scenario where each cell is covered with 3 different beams.</w:t>
      </w:r>
    </w:p>
    <w:p w14:paraId="0191ABA5" w14:textId="77777777" w:rsidR="006B7A24" w:rsidRPr="00F36C74" w:rsidRDefault="006B7A24" w:rsidP="006B7A24">
      <w:pPr>
        <w:jc w:val="center"/>
        <w:rPr>
          <w:rFonts w:asciiTheme="minorBidi" w:hAnsiTheme="minorBidi"/>
        </w:rPr>
      </w:pPr>
      <w:r w:rsidRPr="00F36C74">
        <w:rPr>
          <w:rFonts w:asciiTheme="minorBidi" w:hAnsiTheme="minorBidi"/>
          <w:noProof/>
        </w:rPr>
        <w:lastRenderedPageBreak/>
        <w:drawing>
          <wp:inline distT="0" distB="0" distL="0" distR="0" wp14:anchorId="585EC44D" wp14:editId="469DB615">
            <wp:extent cx="3114040" cy="2891360"/>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2981" cy="2908946"/>
                    </a:xfrm>
                    <a:prstGeom prst="rect">
                      <a:avLst/>
                    </a:prstGeom>
                    <a:noFill/>
                  </pic:spPr>
                </pic:pic>
              </a:graphicData>
            </a:graphic>
          </wp:inline>
        </w:drawing>
      </w:r>
    </w:p>
    <w:p w14:paraId="4C7291BD" w14:textId="1AF86B23" w:rsidR="006B7A24" w:rsidRPr="00F36C74" w:rsidRDefault="006B7A24" w:rsidP="006B7A24">
      <w:pPr>
        <w:pStyle w:val="Caption"/>
        <w:jc w:val="center"/>
        <w:rPr>
          <w:rFonts w:asciiTheme="minorBidi" w:hAnsiTheme="minorBidi"/>
        </w:rPr>
      </w:pPr>
      <w:r w:rsidRPr="00F36C74">
        <w:t xml:space="preserve">Figure </w:t>
      </w:r>
      <w:r w:rsidR="00542064">
        <w:fldChar w:fldCharType="begin"/>
      </w:r>
      <w:r w:rsidR="00542064">
        <w:instrText xml:space="preserve"> SEQ Figur \* ARABIC </w:instrText>
      </w:r>
      <w:r w:rsidR="00542064">
        <w:fldChar w:fldCharType="separate"/>
      </w:r>
      <w:r w:rsidR="00B332D4">
        <w:rPr>
          <w:noProof/>
        </w:rPr>
        <w:t>1</w:t>
      </w:r>
      <w:r w:rsidR="00542064">
        <w:rPr>
          <w:noProof/>
        </w:rPr>
        <w:fldChar w:fldCharType="end"/>
      </w:r>
      <w:r w:rsidRPr="00F36C74">
        <w:t>: Example of NTN frequency reuse deployment with multiple beams per PCI.</w:t>
      </w:r>
    </w:p>
    <w:p w14:paraId="624DCD5C" w14:textId="07B7A6A0" w:rsidR="006B7A24" w:rsidRPr="00F36C74" w:rsidRDefault="006B7A24" w:rsidP="006B7A24">
      <w:pPr>
        <w:jc w:val="both"/>
        <w:rPr>
          <w:rFonts w:ascii="Arial" w:hAnsi="Arial" w:cs="Arial"/>
        </w:rPr>
      </w:pPr>
      <w:r w:rsidRPr="00F36C74">
        <w:rPr>
          <w:rFonts w:ascii="Arial" w:hAnsi="Arial" w:cs="Arial"/>
        </w:rPr>
        <w:t xml:space="preserve">The detailed design of the BWP to beam association is being discussed. According to the RAN1#103-e FL summary </w:t>
      </w:r>
      <w:r w:rsidRPr="00F36C74">
        <w:rPr>
          <w:rFonts w:ascii="Arial" w:hAnsi="Arial" w:cs="Arial"/>
        </w:rPr>
        <w:fldChar w:fldCharType="begin"/>
      </w:r>
      <w:r w:rsidRPr="00F36C74">
        <w:rPr>
          <w:rFonts w:ascii="Arial" w:hAnsi="Arial" w:cs="Arial"/>
        </w:rPr>
        <w:instrText xml:space="preserve"> REF _Ref60912644 \r \h </w:instrText>
      </w:r>
      <w:r w:rsidRPr="00DF3509">
        <w:rPr>
          <w:rFonts w:ascii="Arial" w:hAnsi="Arial" w:cs="Arial"/>
        </w:rPr>
        <w:instrText xml:space="preserve"> \* MERGEFORMAT </w:instrText>
      </w:r>
      <w:r w:rsidRPr="00F36C74">
        <w:rPr>
          <w:rFonts w:ascii="Arial" w:hAnsi="Arial" w:cs="Arial"/>
        </w:rPr>
      </w:r>
      <w:r w:rsidRPr="00F36C74">
        <w:rPr>
          <w:rFonts w:ascii="Arial" w:hAnsi="Arial" w:cs="Arial"/>
        </w:rPr>
        <w:fldChar w:fldCharType="separate"/>
      </w:r>
      <w:r w:rsidR="00B332D4">
        <w:rPr>
          <w:rFonts w:ascii="Arial" w:hAnsi="Arial" w:cs="Arial"/>
        </w:rPr>
        <w:t>[5]</w:t>
      </w:r>
      <w:r w:rsidRPr="00F36C74">
        <w:rPr>
          <w:rFonts w:ascii="Arial" w:hAnsi="Arial" w:cs="Arial"/>
        </w:rPr>
        <w:fldChar w:fldCharType="end"/>
      </w:r>
      <w:r w:rsidRPr="00F36C74">
        <w:rPr>
          <w:rFonts w:ascii="Arial" w:hAnsi="Arial" w:cs="Arial"/>
        </w:rPr>
        <w:t xml:space="preserve">, the proposals can be divided into four different options. In the following we discuss and provide our view on each option. </w:t>
      </w:r>
    </w:p>
    <w:p w14:paraId="5DCC3596" w14:textId="77777777" w:rsidR="006B7A24" w:rsidRPr="00F36C74" w:rsidRDefault="006B7A24" w:rsidP="006B7A24">
      <w:pPr>
        <w:jc w:val="both"/>
        <w:rPr>
          <w:rFonts w:ascii="Arial" w:hAnsi="Arial" w:cs="Arial"/>
          <w:u w:val="single"/>
        </w:rPr>
      </w:pPr>
      <w:r w:rsidRPr="00F36C74">
        <w:rPr>
          <w:rFonts w:ascii="Arial" w:hAnsi="Arial" w:cs="Arial"/>
          <w:u w:val="single"/>
        </w:rPr>
        <w:t xml:space="preserve">Option-1: Same beam layout for BWP#0 and </w:t>
      </w:r>
      <w:proofErr w:type="spellStart"/>
      <w:r w:rsidRPr="00F36C74">
        <w:rPr>
          <w:rFonts w:ascii="Arial" w:hAnsi="Arial" w:cs="Arial"/>
          <w:u w:val="single"/>
        </w:rPr>
        <w:t>BWP#x</w:t>
      </w:r>
      <w:proofErr w:type="spellEnd"/>
    </w:p>
    <w:p w14:paraId="7E309C4C" w14:textId="77777777" w:rsidR="006B7A24" w:rsidRPr="00DF3509" w:rsidRDefault="006B7A24" w:rsidP="006B7A24">
      <w:pPr>
        <w:jc w:val="both"/>
        <w:rPr>
          <w:rFonts w:asciiTheme="minorBidi" w:hAnsiTheme="minorBidi"/>
        </w:rPr>
      </w:pPr>
      <w:r w:rsidRPr="00F36C74">
        <w:rPr>
          <w:rFonts w:asciiTheme="minorBidi" w:hAnsiTheme="minorBidi"/>
        </w:rPr>
        <w:t xml:space="preserve">In this case, gNB configures </w:t>
      </w:r>
      <w:r w:rsidRPr="001C50DB">
        <w:rPr>
          <w:rFonts w:asciiTheme="minorBidi" w:hAnsiTheme="minorBidi"/>
        </w:rPr>
        <w:t xml:space="preserve">BWP#0 and one </w:t>
      </w:r>
      <w:proofErr w:type="spellStart"/>
      <w:r w:rsidRPr="001C50DB">
        <w:rPr>
          <w:rFonts w:asciiTheme="minorBidi" w:hAnsiTheme="minorBidi"/>
        </w:rPr>
        <w:t>BWP#x</w:t>
      </w:r>
      <w:proofErr w:type="spellEnd"/>
      <w:r w:rsidRPr="001C50DB">
        <w:rPr>
          <w:rFonts w:asciiTheme="minorBidi" w:hAnsiTheme="minorBidi"/>
        </w:rPr>
        <w:t xml:space="preserve"> on</w:t>
      </w:r>
      <w:r w:rsidRPr="004058FC">
        <w:rPr>
          <w:rFonts w:asciiTheme="minorBidi" w:hAnsiTheme="minorBidi"/>
        </w:rPr>
        <w:t xml:space="preserve"> each beam. Simultaneous transmission and reception can be expected from gNB perspective </w:t>
      </w:r>
      <w:r w:rsidRPr="004361AE">
        <w:rPr>
          <w:rFonts w:asciiTheme="minorBidi" w:hAnsiTheme="minorBidi"/>
        </w:rPr>
        <w:t>on both BWPs</w:t>
      </w:r>
      <w:r w:rsidRPr="003D6969">
        <w:rPr>
          <w:rFonts w:asciiTheme="minorBidi" w:hAnsiTheme="minorBidi"/>
        </w:rPr>
        <w:t xml:space="preserve"> for different UEs. </w:t>
      </w:r>
      <w:r w:rsidRPr="00337365">
        <w:rPr>
          <w:rFonts w:asciiTheme="minorBidi" w:hAnsiTheme="minorBidi"/>
        </w:rPr>
        <w:t xml:space="preserve">Transmissions in BWP#0 across different beams of the cell can be time </w:t>
      </w:r>
      <w:r w:rsidRPr="00DF3509">
        <w:rPr>
          <w:rFonts w:asciiTheme="minorBidi" w:hAnsiTheme="minorBidi"/>
        </w:rPr>
        <w:t xml:space="preserve">multiplexed, as is built in the fundamental design of SSBs that are time multiplexed. In other words, the beam for transmitting BWP#0 can sweep over the area defining the cell comprising multiple beams. </w:t>
      </w:r>
    </w:p>
    <w:p w14:paraId="29E90386" w14:textId="77777777" w:rsidR="006B7A24" w:rsidRPr="00DF3509" w:rsidRDefault="006B7A24" w:rsidP="006B7A24">
      <w:pPr>
        <w:rPr>
          <w:rFonts w:asciiTheme="minorBidi" w:hAnsiTheme="minorBidi"/>
          <w:u w:val="single"/>
        </w:rPr>
      </w:pPr>
      <w:r w:rsidRPr="00DF3509">
        <w:rPr>
          <w:rFonts w:asciiTheme="minorBidi" w:hAnsiTheme="minorBidi"/>
          <w:u w:val="single"/>
        </w:rPr>
        <w:t xml:space="preserve">Option-2: Hierarchical beam layout for BWP#0 and </w:t>
      </w:r>
      <w:proofErr w:type="spellStart"/>
      <w:r w:rsidRPr="00DF3509">
        <w:rPr>
          <w:rFonts w:asciiTheme="minorBidi" w:hAnsiTheme="minorBidi"/>
          <w:u w:val="single"/>
        </w:rPr>
        <w:t>BWP#x</w:t>
      </w:r>
      <w:proofErr w:type="spellEnd"/>
    </w:p>
    <w:p w14:paraId="6B390584" w14:textId="77777777" w:rsidR="006B7A24" w:rsidRPr="00DF3509" w:rsidRDefault="006B7A24" w:rsidP="006B7A24">
      <w:pPr>
        <w:rPr>
          <w:rFonts w:asciiTheme="minorBidi" w:hAnsiTheme="minorBidi"/>
        </w:rPr>
      </w:pPr>
      <w:r w:rsidRPr="00DF3509">
        <w:rPr>
          <w:rFonts w:asciiTheme="minorBidi" w:hAnsiTheme="minorBidi"/>
        </w:rPr>
        <w:t xml:space="preserve">In this case, BWP#0 acts as a cell-specific anchor beam covering the whole cell footprint, enabling initial access and broadcast transmission including SSB, SIB1, etc. However, for UEs in connected mode, the cell comprises multiple smaller spotbeams, each associated with a non-zero </w:t>
      </w:r>
      <w:proofErr w:type="spellStart"/>
      <w:r w:rsidRPr="00DF3509">
        <w:rPr>
          <w:rFonts w:asciiTheme="minorBidi" w:hAnsiTheme="minorBidi"/>
        </w:rPr>
        <w:t>BWP#x</w:t>
      </w:r>
      <w:proofErr w:type="spellEnd"/>
      <w:r w:rsidRPr="00DF3509">
        <w:rPr>
          <w:rFonts w:asciiTheme="minorBidi" w:hAnsiTheme="minorBidi"/>
        </w:rPr>
        <w:t xml:space="preserve"> for the transmission of dedicated signals and channels. This option is depicted in Figure 2.</w:t>
      </w:r>
    </w:p>
    <w:p w14:paraId="059590FE" w14:textId="77777777" w:rsidR="006B7A24" w:rsidRPr="00F36C74" w:rsidRDefault="006B7A24" w:rsidP="006B7A24">
      <w:pPr>
        <w:keepNext/>
        <w:jc w:val="center"/>
      </w:pPr>
      <w:r w:rsidRPr="00F36C74">
        <w:rPr>
          <w:noProof/>
        </w:rPr>
        <w:lastRenderedPageBreak/>
        <w:drawing>
          <wp:inline distT="0" distB="0" distL="0" distR="0" wp14:anchorId="2B5F23FD" wp14:editId="7BF46B03">
            <wp:extent cx="3429000" cy="289772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621" cy="2913464"/>
                    </a:xfrm>
                    <a:prstGeom prst="rect">
                      <a:avLst/>
                    </a:prstGeom>
                    <a:noFill/>
                  </pic:spPr>
                </pic:pic>
              </a:graphicData>
            </a:graphic>
          </wp:inline>
        </w:drawing>
      </w:r>
    </w:p>
    <w:p w14:paraId="55E81373" w14:textId="5D224EC0" w:rsidR="006B7A24" w:rsidRPr="003A5493" w:rsidRDefault="006B7A24" w:rsidP="006B7A24">
      <w:pPr>
        <w:pStyle w:val="Caption"/>
        <w:jc w:val="center"/>
      </w:pPr>
      <w:r w:rsidRPr="00F36C74">
        <w:t xml:space="preserve">Figure </w:t>
      </w:r>
      <w:r w:rsidRPr="003A5493">
        <w:fldChar w:fldCharType="begin"/>
      </w:r>
      <w:r w:rsidRPr="00F36C74">
        <w:instrText xml:space="preserve"> SEQ Figur \* ARABIC </w:instrText>
      </w:r>
      <w:r w:rsidRPr="003A5493">
        <w:fldChar w:fldCharType="separate"/>
      </w:r>
      <w:r w:rsidR="00B332D4">
        <w:rPr>
          <w:noProof/>
        </w:rPr>
        <w:t>2</w:t>
      </w:r>
      <w:r w:rsidRPr="003A5493">
        <w:rPr>
          <w:noProof/>
        </w:rPr>
        <w:fldChar w:fldCharType="end"/>
      </w:r>
      <w:r w:rsidRPr="003A5493">
        <w:t>: An illustration of using BWP for frequency reuse with BWP#0 as anchor beam.</w:t>
      </w:r>
    </w:p>
    <w:p w14:paraId="433EFEF0" w14:textId="77777777" w:rsidR="006B7A24" w:rsidRPr="003A5493" w:rsidRDefault="006B7A24" w:rsidP="006B7A24">
      <w:pPr>
        <w:jc w:val="both"/>
        <w:rPr>
          <w:rFonts w:ascii="Arial" w:hAnsi="Arial" w:cs="Arial"/>
          <w:lang w:eastAsia="ja-JP"/>
        </w:rPr>
      </w:pPr>
      <w:r w:rsidRPr="003A5493">
        <w:rPr>
          <w:rFonts w:ascii="Arial" w:hAnsi="Arial" w:cs="Arial"/>
          <w:lang w:eastAsia="ja-JP"/>
        </w:rPr>
        <w:t>If the anchor beam covers the whole cell, this might limit the supported system capacity. Release 15 supports mobile terminated (MT) and mobile originated (MO) system access using the initial BWP#0. System access is already expected to pose a capacity bottleneck. Increasing the cell size will not improve the situation. It is of course possible to discuss an enabling of MT/MO access also for BWP#1-#3, but this will then raise new questions, e.g.</w:t>
      </w:r>
      <w:r>
        <w:rPr>
          <w:rFonts w:ascii="Arial" w:hAnsi="Arial" w:cs="Arial"/>
          <w:lang w:eastAsia="ja-JP"/>
        </w:rPr>
        <w:t>,</w:t>
      </w:r>
      <w:r w:rsidRPr="003A5493">
        <w:rPr>
          <w:rFonts w:ascii="Arial" w:hAnsi="Arial" w:cs="Arial"/>
          <w:lang w:eastAsia="ja-JP"/>
        </w:rPr>
        <w:t xml:space="preserve"> on how idle mode mobility between these BWPs are to be supported.</w:t>
      </w:r>
    </w:p>
    <w:p w14:paraId="62C7270F" w14:textId="4DD162F9" w:rsidR="006B7A24" w:rsidRPr="003A5493" w:rsidRDefault="006B7A24" w:rsidP="006B7A24">
      <w:pPr>
        <w:jc w:val="both"/>
        <w:rPr>
          <w:rFonts w:ascii="Arial" w:hAnsi="Arial" w:cs="Arial"/>
          <w:lang w:eastAsia="ja-JP"/>
        </w:rPr>
      </w:pPr>
      <w:r w:rsidRPr="003A5493">
        <w:rPr>
          <w:rFonts w:ascii="Arial" w:hAnsi="Arial" w:cs="Arial"/>
          <w:lang w:eastAsia="ja-JP"/>
        </w:rPr>
        <w:t xml:space="preserve">It was mentioned that this scenario is one of the main deployment choices of existing satellite networks </w:t>
      </w:r>
      <w:r w:rsidRPr="00F36C74">
        <w:rPr>
          <w:rFonts w:ascii="Arial" w:hAnsi="Arial" w:cs="Arial"/>
          <w:lang w:eastAsia="ja-JP"/>
        </w:rPr>
        <w:fldChar w:fldCharType="begin"/>
      </w:r>
      <w:r w:rsidRPr="003A5493">
        <w:rPr>
          <w:rFonts w:ascii="Arial" w:hAnsi="Arial" w:cs="Arial"/>
          <w:lang w:eastAsia="ja-JP"/>
        </w:rPr>
        <w:instrText xml:space="preserve"> REF _Ref60912644 \r \h </w:instrText>
      </w:r>
      <w:r w:rsidRPr="00F36C74">
        <w:rPr>
          <w:rFonts w:ascii="Arial" w:hAnsi="Arial" w:cs="Arial"/>
          <w:lang w:eastAsia="ja-JP"/>
        </w:rPr>
      </w:r>
      <w:r w:rsidRPr="00F36C74">
        <w:rPr>
          <w:rFonts w:ascii="Arial" w:hAnsi="Arial" w:cs="Arial"/>
          <w:lang w:eastAsia="ja-JP"/>
        </w:rPr>
        <w:fldChar w:fldCharType="separate"/>
      </w:r>
      <w:r w:rsidR="00B332D4">
        <w:rPr>
          <w:rFonts w:ascii="Arial" w:hAnsi="Arial" w:cs="Arial"/>
          <w:lang w:eastAsia="ja-JP"/>
        </w:rPr>
        <w:t>[5]</w:t>
      </w:r>
      <w:r w:rsidRPr="00F36C74">
        <w:rPr>
          <w:rFonts w:ascii="Arial" w:hAnsi="Arial" w:cs="Arial"/>
          <w:lang w:eastAsia="ja-JP"/>
        </w:rPr>
        <w:fldChar w:fldCharType="end"/>
      </w:r>
      <w:r w:rsidRPr="003A5493">
        <w:rPr>
          <w:rFonts w:ascii="Arial" w:hAnsi="Arial" w:cs="Arial"/>
          <w:lang w:eastAsia="ja-JP"/>
        </w:rPr>
        <w:t>. Similar to Option 1, this scenario can be realized using the current NR specification. It is up to network choice and implementation.</w:t>
      </w:r>
    </w:p>
    <w:p w14:paraId="0D325D8B" w14:textId="77777777" w:rsidR="006B7A24" w:rsidRPr="003A5493" w:rsidRDefault="006B7A24" w:rsidP="006B7A24">
      <w:pPr>
        <w:pStyle w:val="Observation"/>
        <w:overflowPunct w:val="0"/>
        <w:autoSpaceDE w:val="0"/>
        <w:autoSpaceDN w:val="0"/>
        <w:adjustRightInd w:val="0"/>
        <w:spacing w:line="240" w:lineRule="auto"/>
        <w:textAlignment w:val="baseline"/>
      </w:pPr>
      <w:bookmarkStart w:id="38" w:name="_Toc83986726"/>
      <w:r w:rsidRPr="003A5493">
        <w:rPr>
          <w:rFonts w:cs="Arial"/>
        </w:rPr>
        <w:t>Using BWP-BM association to enable a frequency reuse can already be supported by existing NR specification. It is a choice of network configuration and implementation.</w:t>
      </w:r>
      <w:bookmarkEnd w:id="38"/>
    </w:p>
    <w:p w14:paraId="603B50F8" w14:textId="77777777" w:rsidR="006B7A24" w:rsidRPr="003A5493" w:rsidRDefault="006B7A24" w:rsidP="006B7A24">
      <w:pPr>
        <w:jc w:val="both"/>
        <w:rPr>
          <w:rFonts w:ascii="Arial" w:hAnsi="Arial" w:cs="Arial"/>
          <w:u w:val="single"/>
          <w:lang w:eastAsia="ja-JP"/>
        </w:rPr>
      </w:pPr>
      <w:r w:rsidRPr="003A5493">
        <w:rPr>
          <w:rFonts w:ascii="Arial" w:hAnsi="Arial" w:cs="Arial"/>
          <w:u w:val="single"/>
          <w:lang w:eastAsia="ja-JP"/>
        </w:rPr>
        <w:t>Option-3: Mapping between SSB index and BWP index</w:t>
      </w:r>
    </w:p>
    <w:p w14:paraId="5E9E3221" w14:textId="3CAC1981" w:rsidR="006B7A24" w:rsidRPr="003A5493" w:rsidRDefault="006B7A24" w:rsidP="006B7A24">
      <w:pPr>
        <w:jc w:val="both"/>
        <w:rPr>
          <w:rFonts w:ascii="Arial" w:hAnsi="Arial" w:cs="Arial"/>
          <w:lang w:eastAsia="ja-JP"/>
        </w:rPr>
      </w:pPr>
      <w:r w:rsidRPr="003A5493">
        <w:rPr>
          <w:rFonts w:ascii="Arial" w:hAnsi="Arial" w:cs="Arial"/>
          <w:lang w:eastAsia="ja-JP"/>
        </w:rPr>
        <w:t xml:space="preserve">According to </w:t>
      </w:r>
      <w:r w:rsidRPr="00F36C74">
        <w:rPr>
          <w:rFonts w:ascii="Arial" w:hAnsi="Arial" w:cs="Arial"/>
          <w:lang w:eastAsia="ja-JP"/>
        </w:rPr>
        <w:fldChar w:fldCharType="begin"/>
      </w:r>
      <w:r w:rsidRPr="003A5493">
        <w:rPr>
          <w:rFonts w:ascii="Arial" w:hAnsi="Arial" w:cs="Arial"/>
          <w:lang w:eastAsia="ja-JP"/>
        </w:rPr>
        <w:instrText xml:space="preserve"> REF _Ref60912644 \r \h </w:instrText>
      </w:r>
      <w:r w:rsidRPr="00F36C74">
        <w:rPr>
          <w:rFonts w:ascii="Arial" w:hAnsi="Arial" w:cs="Arial"/>
          <w:lang w:eastAsia="ja-JP"/>
        </w:rPr>
      </w:r>
      <w:r w:rsidRPr="00F36C74">
        <w:rPr>
          <w:rFonts w:ascii="Arial" w:hAnsi="Arial" w:cs="Arial"/>
          <w:lang w:eastAsia="ja-JP"/>
        </w:rPr>
        <w:fldChar w:fldCharType="separate"/>
      </w:r>
      <w:r w:rsidR="00B332D4">
        <w:rPr>
          <w:rFonts w:ascii="Arial" w:hAnsi="Arial" w:cs="Arial"/>
          <w:lang w:eastAsia="ja-JP"/>
        </w:rPr>
        <w:t>[5]</w:t>
      </w:r>
      <w:r w:rsidRPr="00F36C74">
        <w:rPr>
          <w:rFonts w:ascii="Arial" w:hAnsi="Arial" w:cs="Arial"/>
          <w:lang w:eastAsia="ja-JP"/>
        </w:rPr>
        <w:fldChar w:fldCharType="end"/>
      </w:r>
      <w:r w:rsidRPr="003A5493">
        <w:rPr>
          <w:rFonts w:ascii="Arial" w:hAnsi="Arial" w:cs="Arial"/>
          <w:lang w:eastAsia="ja-JP"/>
        </w:rPr>
        <w:t xml:space="preserve">, the intention with this option is to have a predefined or configurable linking between SSB indices and BWP indices in the specification. Other than that, the operation appears not to be different from Options 1 and 2. </w:t>
      </w:r>
    </w:p>
    <w:p w14:paraId="75F5F560" w14:textId="77777777" w:rsidR="006B7A24" w:rsidRPr="003A5493" w:rsidRDefault="006B7A24" w:rsidP="006B7A24">
      <w:pPr>
        <w:jc w:val="both"/>
        <w:rPr>
          <w:rFonts w:ascii="Arial" w:hAnsi="Arial" w:cs="Arial"/>
          <w:lang w:eastAsia="ja-JP"/>
        </w:rPr>
      </w:pPr>
      <w:r w:rsidRPr="003A5493">
        <w:rPr>
          <w:rFonts w:ascii="Arial" w:hAnsi="Arial" w:cs="Arial"/>
          <w:lang w:eastAsia="ja-JP"/>
        </w:rPr>
        <w:t xml:space="preserve">Based on the description, the main point here is to define a linking between BWP index and beam index. However, this is already supported in existing specification. </w:t>
      </w:r>
    </w:p>
    <w:p w14:paraId="77D35876" w14:textId="77777777" w:rsidR="006B7A24" w:rsidRPr="003A5493" w:rsidRDefault="006B7A24" w:rsidP="006B7A24">
      <w:pPr>
        <w:pStyle w:val="Observation"/>
      </w:pPr>
      <w:bookmarkStart w:id="39" w:name="_Toc83986727"/>
      <w:r w:rsidRPr="003A5493">
        <w:t>Mapping between BWP index and beam (SSB) index is already supported by current specification.</w:t>
      </w:r>
      <w:bookmarkEnd w:id="39"/>
    </w:p>
    <w:p w14:paraId="01F598FD" w14:textId="77777777" w:rsidR="006B7A24" w:rsidRPr="003A5493" w:rsidRDefault="006B7A24" w:rsidP="006B7A24">
      <w:pPr>
        <w:jc w:val="both"/>
        <w:rPr>
          <w:rFonts w:ascii="Arial" w:hAnsi="Arial" w:cs="Arial"/>
          <w:u w:val="single"/>
          <w:lang w:eastAsia="ja-JP"/>
        </w:rPr>
      </w:pPr>
      <w:r w:rsidRPr="003A5493">
        <w:rPr>
          <w:rFonts w:ascii="Arial" w:hAnsi="Arial" w:cs="Arial"/>
          <w:u w:val="single"/>
          <w:lang w:eastAsia="ja-JP"/>
        </w:rPr>
        <w:t>Option-4: SSB transmission in beam-specific initial BWP</w:t>
      </w:r>
    </w:p>
    <w:p w14:paraId="45FAC799" w14:textId="77777777" w:rsidR="006B7A24" w:rsidRPr="003A5493" w:rsidRDefault="006B7A24" w:rsidP="006B7A24">
      <w:pPr>
        <w:jc w:val="both"/>
        <w:rPr>
          <w:rFonts w:ascii="Arial" w:hAnsi="Arial" w:cs="Arial"/>
          <w:lang w:eastAsia="ja-JP"/>
        </w:rPr>
      </w:pPr>
      <w:r w:rsidRPr="003A5493">
        <w:rPr>
          <w:rFonts w:ascii="Arial" w:hAnsi="Arial" w:cs="Arial"/>
          <w:lang w:eastAsia="ja-JP"/>
        </w:rPr>
        <w:t>In this case, the transmissions of CORESET#0, Type-0 CSS and SIB1 are carried out in each different BWP, potentially with or without frequency division multiplexed transmission of SSBs. This contrasts with current NR specification where they are transmitted within BWP#0.</w:t>
      </w:r>
    </w:p>
    <w:p w14:paraId="40C8206F" w14:textId="77777777" w:rsidR="006B7A24" w:rsidRPr="003A5493" w:rsidRDefault="006B7A24" w:rsidP="006B7A24">
      <w:pPr>
        <w:jc w:val="both"/>
        <w:rPr>
          <w:rFonts w:ascii="Arial" w:hAnsi="Arial" w:cs="Arial"/>
          <w:lang w:eastAsia="ja-JP"/>
        </w:rPr>
      </w:pPr>
      <w:r w:rsidRPr="003A5493">
        <w:rPr>
          <w:rFonts w:ascii="Arial" w:hAnsi="Arial" w:cs="Arial"/>
          <w:lang w:eastAsia="ja-JP"/>
        </w:rPr>
        <w:t>This option is a significant deviation from the fundamental access design in Rel-15 NR. It requires considerable amount of specification effort and the actual effect of this option is almost equivalent to 1-beam per cell setup, that is, each beam become</w:t>
      </w:r>
      <w:r>
        <w:rPr>
          <w:rFonts w:ascii="Arial" w:hAnsi="Arial" w:cs="Arial"/>
          <w:lang w:eastAsia="ja-JP"/>
        </w:rPr>
        <w:t>s</w:t>
      </w:r>
      <w:r w:rsidRPr="003A5493">
        <w:rPr>
          <w:rFonts w:ascii="Arial" w:hAnsi="Arial" w:cs="Arial"/>
          <w:lang w:eastAsia="ja-JP"/>
        </w:rPr>
        <w:t xml:space="preserve"> almost like a cell. </w:t>
      </w:r>
    </w:p>
    <w:p w14:paraId="589129B9" w14:textId="77777777" w:rsidR="006B7A24" w:rsidRDefault="006B7A24" w:rsidP="006B7A24">
      <w:pPr>
        <w:pStyle w:val="Observation"/>
      </w:pPr>
      <w:bookmarkStart w:id="40" w:name="_Toc83986728"/>
      <w:r w:rsidRPr="003A5493">
        <w:lastRenderedPageBreak/>
        <w:t>BWP specific transmission of CORESET#0, SIB1 and SSBs requires significant specification effort. The actual effect is equivalent to 1-beam per cell scenario.</w:t>
      </w:r>
      <w:bookmarkEnd w:id="40"/>
      <w:r w:rsidRPr="003A5493">
        <w:t xml:space="preserve"> </w:t>
      </w:r>
    </w:p>
    <w:p w14:paraId="53FA9185" w14:textId="77777777" w:rsidR="006B7A24" w:rsidRPr="00F36C74" w:rsidRDefault="006B7A24" w:rsidP="006B7A24">
      <w:pPr>
        <w:jc w:val="both"/>
        <w:rPr>
          <w:rFonts w:ascii="Arial" w:hAnsi="Arial" w:cs="Arial"/>
        </w:rPr>
      </w:pPr>
      <w:r w:rsidRPr="00F36C74">
        <w:rPr>
          <w:rFonts w:ascii="Arial" w:hAnsi="Arial" w:cs="Arial"/>
        </w:rPr>
        <w:t>In</w:t>
      </w:r>
      <w:r>
        <w:rPr>
          <w:rFonts w:ascii="Arial" w:hAnsi="Arial" w:cs="Arial"/>
        </w:rPr>
        <w:t xml:space="preserve"> RAN1#105-e,</w:t>
      </w:r>
      <w:r w:rsidRPr="00F36C74">
        <w:rPr>
          <w:rFonts w:ascii="Arial" w:hAnsi="Arial" w:cs="Arial"/>
        </w:rPr>
        <w:t xml:space="preserve"> </w:t>
      </w:r>
      <w:r>
        <w:rPr>
          <w:rFonts w:ascii="Arial" w:hAnsi="Arial" w:cs="Arial"/>
        </w:rPr>
        <w:t xml:space="preserve">the </w:t>
      </w:r>
      <w:r w:rsidRPr="00F36C74">
        <w:rPr>
          <w:rFonts w:ascii="Arial" w:hAnsi="Arial" w:cs="Arial"/>
        </w:rPr>
        <w:t xml:space="preserve">following agreement was </w:t>
      </w:r>
      <w:r>
        <w:rPr>
          <w:rFonts w:ascii="Arial" w:hAnsi="Arial" w:cs="Arial"/>
        </w:rPr>
        <w:t>made.</w:t>
      </w:r>
    </w:p>
    <w:p w14:paraId="4EAD8A0F" w14:textId="77777777" w:rsidR="006B7A24" w:rsidRDefault="006B7A24" w:rsidP="006B7A24">
      <w:pPr>
        <w:jc w:val="both"/>
        <w:rPr>
          <w:rFonts w:ascii="Arial" w:hAnsi="Arial" w:cs="Arial"/>
        </w:rPr>
      </w:pPr>
      <w:r w:rsidRPr="00F36C74">
        <w:rPr>
          <w:noProof/>
          <w:sz w:val="20"/>
          <w:szCs w:val="20"/>
        </w:rPr>
        <mc:AlternateContent>
          <mc:Choice Requires="wps">
            <w:drawing>
              <wp:inline distT="0" distB="0" distL="0" distR="0" wp14:anchorId="6ABA4494" wp14:editId="06E5D097">
                <wp:extent cx="6120765" cy="844062"/>
                <wp:effectExtent l="0" t="0" r="13335" b="1333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4062"/>
                        </a:xfrm>
                        <a:prstGeom prst="rect">
                          <a:avLst/>
                        </a:prstGeom>
                        <a:solidFill>
                          <a:sysClr val="window" lastClr="FFFFFF">
                            <a:lumMod val="100000"/>
                            <a:lumOff val="0"/>
                          </a:sysClr>
                        </a:solidFill>
                        <a:ln w="6350">
                          <a:solidFill>
                            <a:srgbClr val="000000"/>
                          </a:solidFill>
                          <a:miter lim="800000"/>
                          <a:headEnd/>
                          <a:tailEnd/>
                        </a:ln>
                      </wps:spPr>
                      <wps:txbx>
                        <w:txbxContent>
                          <w:p w14:paraId="6BF46D7D" w14:textId="77777777" w:rsidR="006B7A24" w:rsidRPr="00A40F00" w:rsidRDefault="006B7A24" w:rsidP="006B7A24">
                            <w:pPr>
                              <w:spacing w:after="0" w:line="240" w:lineRule="auto"/>
                              <w:rPr>
                                <w:rFonts w:ascii="Times" w:eastAsia="Batang" w:hAnsi="Times" w:cs="Times New Roman"/>
                                <w:szCs w:val="28"/>
                                <w:lang w:eastAsia="x-none"/>
                              </w:rPr>
                            </w:pPr>
                            <w:r w:rsidRPr="00A40F00">
                              <w:rPr>
                                <w:rFonts w:ascii="Times" w:eastAsia="Batang" w:hAnsi="Times" w:cs="Times New Roman"/>
                                <w:szCs w:val="28"/>
                                <w:highlight w:val="green"/>
                                <w:lang w:eastAsia="x-none"/>
                              </w:rPr>
                              <w:t>Agreement:</w:t>
                            </w:r>
                          </w:p>
                          <w:p w14:paraId="1B194089" w14:textId="77777777" w:rsidR="006B7A24" w:rsidRPr="00A40F00" w:rsidRDefault="006B7A24" w:rsidP="006B7A24">
                            <w:pPr>
                              <w:spacing w:after="0" w:line="240" w:lineRule="auto"/>
                              <w:rPr>
                                <w:rFonts w:ascii="Times" w:eastAsia="Batang" w:hAnsi="Times" w:cs="Times New Roman"/>
                                <w:szCs w:val="28"/>
                                <w:lang w:eastAsia="x-none"/>
                              </w:rPr>
                            </w:pPr>
                            <w:r w:rsidRPr="00A40F00">
                              <w:rPr>
                                <w:rFonts w:ascii="Times" w:eastAsia="Batang" w:hAnsi="Times" w:cs="Times New Roman"/>
                                <w:szCs w:val="28"/>
                                <w:lang w:eastAsia="x-none"/>
                              </w:rPr>
                              <w:t xml:space="preserve">Same beam layout in BWP#0 and </w:t>
                            </w:r>
                            <w:proofErr w:type="spellStart"/>
                            <w:r w:rsidRPr="00A40F00">
                              <w:rPr>
                                <w:rFonts w:ascii="Times" w:eastAsia="Batang" w:hAnsi="Times" w:cs="Times New Roman"/>
                                <w:szCs w:val="28"/>
                                <w:lang w:eastAsia="x-none"/>
                              </w:rPr>
                              <w:t>BWP#x</w:t>
                            </w:r>
                            <w:proofErr w:type="spellEnd"/>
                            <w:r w:rsidRPr="00A40F00">
                              <w:rPr>
                                <w:rFonts w:ascii="Times" w:eastAsia="Batang" w:hAnsi="Times" w:cs="Times New Roman"/>
                                <w:szCs w:val="28"/>
                                <w:lang w:eastAsia="x-none"/>
                              </w:rPr>
                              <w:t xml:space="preserve"> (Option 1) and hierarchical beam for BWP#0 (Option 2) should be supported by the specifications for NR-NTN.</w:t>
                            </w:r>
                          </w:p>
                          <w:p w14:paraId="32CD7F71" w14:textId="77777777" w:rsidR="006B7A24" w:rsidRPr="00F36C74" w:rsidRDefault="006B7A24" w:rsidP="009618EB">
                            <w:pPr>
                              <w:numPr>
                                <w:ilvl w:val="0"/>
                                <w:numId w:val="22"/>
                              </w:numPr>
                              <w:spacing w:after="0" w:line="240" w:lineRule="auto"/>
                              <w:rPr>
                                <w:rFonts w:ascii="Times" w:eastAsia="Batang" w:hAnsi="Times" w:cs="Times New Roman"/>
                                <w:szCs w:val="28"/>
                                <w:lang w:eastAsia="x-none"/>
                              </w:rPr>
                            </w:pPr>
                            <w:r w:rsidRPr="00903C6D">
                              <w:rPr>
                                <w:rFonts w:ascii="Times" w:eastAsia="Batang" w:hAnsi="Times" w:cs="Times New Roman"/>
                                <w:szCs w:val="28"/>
                                <w:lang w:eastAsia="x-none"/>
                              </w:rPr>
                              <w:t>FFS:</w:t>
                            </w:r>
                            <w:r w:rsidRPr="00A40F00">
                              <w:rPr>
                                <w:rFonts w:ascii="Times" w:eastAsia="Batang" w:hAnsi="Times" w:cs="Times New Roman"/>
                                <w:szCs w:val="28"/>
                                <w:lang w:eastAsia="x-none"/>
                              </w:rPr>
                              <w:t xml:space="preserve"> Whether any specification changes are needed specifically to support this functionality</w:t>
                            </w:r>
                          </w:p>
                        </w:txbxContent>
                      </wps:txbx>
                      <wps:bodyPr rot="0" vert="horz" wrap="square" lIns="91440" tIns="45720" rIns="91440" bIns="45720" anchor="t" anchorCtr="0" upright="1">
                        <a:noAutofit/>
                      </wps:bodyPr>
                    </wps:wsp>
                  </a:graphicData>
                </a:graphic>
              </wp:inline>
            </w:drawing>
          </mc:Choice>
          <mc:Fallback>
            <w:pict>
              <v:shape w14:anchorId="6ABA4494" id="Text Box 10" o:spid="_x0000_s1032" type="#_x0000_t202" style="width:481.95pt;height: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" strokeweight=".5pt">
                <v:textbox>
                  <w:txbxContent>
                    <w:p w14:paraId="6BF46D7D" w14:textId="77777777" w:rsidR="006B7A24" w:rsidRPr="00A40F00" w:rsidRDefault="006B7A24" w:rsidP="006B7A24">
                      <w:pPr>
                        <w:spacing w:after="0" w:line="240" w:lineRule="auto"/>
                        <w:rPr>
                          <w:rFonts w:ascii="Times" w:eastAsia="Batang" w:hAnsi="Times" w:cs="Times New Roman"/>
                          <w:szCs w:val="28"/>
                          <w:lang w:eastAsia="x-none"/>
                        </w:rPr>
                      </w:pPr>
                      <w:r w:rsidRPr="00A40F00">
                        <w:rPr>
                          <w:rFonts w:ascii="Times" w:eastAsia="Batang" w:hAnsi="Times" w:cs="Times New Roman"/>
                          <w:szCs w:val="28"/>
                          <w:highlight w:val="green"/>
                          <w:lang w:eastAsia="x-none"/>
                        </w:rPr>
                        <w:t>Agreement:</w:t>
                      </w:r>
                    </w:p>
                    <w:p w14:paraId="1B194089" w14:textId="77777777" w:rsidR="006B7A24" w:rsidRPr="00A40F00" w:rsidRDefault="006B7A24" w:rsidP="006B7A24">
                      <w:pPr>
                        <w:spacing w:after="0" w:line="240" w:lineRule="auto"/>
                        <w:rPr>
                          <w:rFonts w:ascii="Times" w:eastAsia="Batang" w:hAnsi="Times" w:cs="Times New Roman"/>
                          <w:szCs w:val="28"/>
                          <w:lang w:eastAsia="x-none"/>
                        </w:rPr>
                      </w:pPr>
                      <w:r w:rsidRPr="00A40F00">
                        <w:rPr>
                          <w:rFonts w:ascii="Times" w:eastAsia="Batang" w:hAnsi="Times" w:cs="Times New Roman"/>
                          <w:szCs w:val="28"/>
                          <w:lang w:eastAsia="x-none"/>
                        </w:rPr>
                        <w:t xml:space="preserve">Same beam layout in BWP#0 and </w:t>
                      </w:r>
                      <w:proofErr w:type="spellStart"/>
                      <w:r w:rsidRPr="00A40F00">
                        <w:rPr>
                          <w:rFonts w:ascii="Times" w:eastAsia="Batang" w:hAnsi="Times" w:cs="Times New Roman"/>
                          <w:szCs w:val="28"/>
                          <w:lang w:eastAsia="x-none"/>
                        </w:rPr>
                        <w:t>BWP#x</w:t>
                      </w:r>
                      <w:proofErr w:type="spellEnd"/>
                      <w:r w:rsidRPr="00A40F00">
                        <w:rPr>
                          <w:rFonts w:ascii="Times" w:eastAsia="Batang" w:hAnsi="Times" w:cs="Times New Roman"/>
                          <w:szCs w:val="28"/>
                          <w:lang w:eastAsia="x-none"/>
                        </w:rPr>
                        <w:t xml:space="preserve"> (Option 1) and hierarchical beam for BWP#0 (Option 2) should be supported by the specifications for NR-NTN.</w:t>
                      </w:r>
                    </w:p>
                    <w:p w14:paraId="32CD7F71" w14:textId="77777777" w:rsidR="006B7A24" w:rsidRPr="00F36C74" w:rsidRDefault="006B7A24" w:rsidP="009618EB">
                      <w:pPr>
                        <w:numPr>
                          <w:ilvl w:val="0"/>
                          <w:numId w:val="22"/>
                        </w:numPr>
                        <w:spacing w:after="0" w:line="240" w:lineRule="auto"/>
                        <w:rPr>
                          <w:rFonts w:ascii="Times" w:eastAsia="Batang" w:hAnsi="Times" w:cs="Times New Roman"/>
                          <w:szCs w:val="28"/>
                          <w:lang w:eastAsia="x-none"/>
                        </w:rPr>
                      </w:pPr>
                      <w:r w:rsidRPr="00903C6D">
                        <w:rPr>
                          <w:rFonts w:ascii="Times" w:eastAsia="Batang" w:hAnsi="Times" w:cs="Times New Roman"/>
                          <w:szCs w:val="28"/>
                          <w:lang w:eastAsia="x-none"/>
                        </w:rPr>
                        <w:t>FFS:</w:t>
                      </w:r>
                      <w:r w:rsidRPr="00A40F00">
                        <w:rPr>
                          <w:rFonts w:ascii="Times" w:eastAsia="Batang" w:hAnsi="Times" w:cs="Times New Roman"/>
                          <w:szCs w:val="28"/>
                          <w:lang w:eastAsia="x-none"/>
                        </w:rPr>
                        <w:t xml:space="preserve"> Whether any specification changes are needed specifically to support this functionality</w:t>
                      </w:r>
                    </w:p>
                  </w:txbxContent>
                </v:textbox>
                <w10:anchorlock/>
              </v:shape>
            </w:pict>
          </mc:Fallback>
        </mc:AlternateContent>
      </w:r>
    </w:p>
    <w:p w14:paraId="72964D1E" w14:textId="77777777" w:rsidR="006B7A24" w:rsidRPr="00F36C74" w:rsidRDefault="006B7A24" w:rsidP="006B7A24">
      <w:pPr>
        <w:jc w:val="both"/>
        <w:rPr>
          <w:rFonts w:ascii="Arial" w:hAnsi="Arial" w:cs="Arial"/>
        </w:rPr>
      </w:pPr>
      <w:r>
        <w:rPr>
          <w:rFonts w:ascii="Arial" w:hAnsi="Arial" w:cs="Arial"/>
        </w:rPr>
        <w:t xml:space="preserve">Based on our analysis in this section, we can see that </w:t>
      </w:r>
      <w:r w:rsidRPr="001C50DB">
        <w:rPr>
          <w:rFonts w:ascii="Arial" w:hAnsi="Arial" w:cs="Arial"/>
        </w:rPr>
        <w:t>there is no specification change needed to support this functionality.</w:t>
      </w:r>
    </w:p>
    <w:p w14:paraId="0B1978C7" w14:textId="77777777" w:rsidR="006B7A24" w:rsidRPr="003A5493" w:rsidRDefault="006B7A24" w:rsidP="006B7A24">
      <w:pPr>
        <w:pStyle w:val="Proposal"/>
      </w:pPr>
      <w:bookmarkStart w:id="41" w:name="_Toc83986746"/>
      <w:r>
        <w:t xml:space="preserve">RAN1 to conclude that </w:t>
      </w:r>
      <w:r w:rsidRPr="001C50DB">
        <w:t xml:space="preserve">there is no specification change needed to support </w:t>
      </w:r>
      <w:r>
        <w:t>s</w:t>
      </w:r>
      <w:r w:rsidRPr="001C50DB">
        <w:t xml:space="preserve">ame beam layout in BWP#0 and </w:t>
      </w:r>
      <w:proofErr w:type="spellStart"/>
      <w:r w:rsidRPr="001C50DB">
        <w:t>BWP#x</w:t>
      </w:r>
      <w:proofErr w:type="spellEnd"/>
      <w:r w:rsidRPr="001C50DB">
        <w:t xml:space="preserve"> (Option 1) and hierarchical beam for BWP#0 (Option 2)</w:t>
      </w:r>
      <w:r w:rsidRPr="0013264B">
        <w:t>.</w:t>
      </w:r>
      <w:bookmarkEnd w:id="41"/>
    </w:p>
    <w:p w14:paraId="4AB8C0AF" w14:textId="5F2BB16C" w:rsidR="00056B2E" w:rsidRDefault="0005593A" w:rsidP="00056B2E">
      <w:pPr>
        <w:pStyle w:val="Heading2"/>
      </w:pPr>
      <w:r>
        <w:t xml:space="preserve">A.3 </w:t>
      </w:r>
      <w:r w:rsidR="00010213">
        <w:t xml:space="preserve">UE </w:t>
      </w:r>
      <w:r>
        <w:t>Autonomous beam switching</w:t>
      </w:r>
    </w:p>
    <w:p w14:paraId="70DB8887" w14:textId="660F1E95" w:rsidR="0005593A" w:rsidRDefault="0005593A" w:rsidP="0005593A">
      <w:pPr>
        <w:jc w:val="both"/>
        <w:rPr>
          <w:rFonts w:ascii="Arial" w:hAnsi="Arial" w:cs="Arial"/>
        </w:rPr>
      </w:pPr>
      <w:r w:rsidRPr="003214C0">
        <w:rPr>
          <w:rFonts w:ascii="Arial" w:hAnsi="Arial" w:cs="Arial"/>
        </w:rPr>
        <w:t>In case of UE autonomous switching, we should notice that UE cannot perform</w:t>
      </w:r>
      <w:r>
        <w:rPr>
          <w:rFonts w:ascii="Arial" w:hAnsi="Arial" w:cs="Arial"/>
        </w:rPr>
        <w:t xml:space="preserve"> completely autonomous beam</w:t>
      </w:r>
      <w:r w:rsidRPr="003214C0">
        <w:rPr>
          <w:rFonts w:ascii="Arial" w:hAnsi="Arial" w:cs="Arial"/>
        </w:rPr>
        <w:t xml:space="preserve"> switching </w:t>
      </w:r>
      <w:r>
        <w:rPr>
          <w:rFonts w:ascii="Arial" w:hAnsi="Arial" w:cs="Arial"/>
        </w:rPr>
        <w:t>outside</w:t>
      </w:r>
      <w:r w:rsidRPr="003214C0">
        <w:rPr>
          <w:rFonts w:ascii="Arial" w:hAnsi="Arial" w:cs="Arial"/>
        </w:rPr>
        <w:t xml:space="preserve"> </w:t>
      </w:r>
      <w:proofErr w:type="spellStart"/>
      <w:r w:rsidRPr="003214C0">
        <w:rPr>
          <w:rFonts w:ascii="Arial" w:hAnsi="Arial" w:cs="Arial"/>
        </w:rPr>
        <w:t>gNB</w:t>
      </w:r>
      <w:r>
        <w:rPr>
          <w:rFonts w:ascii="Arial" w:hAnsi="Arial" w:cs="Arial"/>
        </w:rPr>
        <w:t>’s</w:t>
      </w:r>
      <w:proofErr w:type="spellEnd"/>
      <w:r w:rsidRPr="003214C0">
        <w:rPr>
          <w:rFonts w:ascii="Arial" w:hAnsi="Arial" w:cs="Arial"/>
        </w:rPr>
        <w:t xml:space="preserve"> con</w:t>
      </w:r>
      <w:r>
        <w:rPr>
          <w:rFonts w:ascii="Arial" w:hAnsi="Arial" w:cs="Arial"/>
        </w:rPr>
        <w:t>trol</w:t>
      </w:r>
      <w:r w:rsidRPr="003214C0">
        <w:rPr>
          <w:rFonts w:ascii="Arial" w:hAnsi="Arial" w:cs="Arial"/>
        </w:rPr>
        <w:t xml:space="preserve">. It is gNB that should </w:t>
      </w:r>
      <w:r>
        <w:rPr>
          <w:rFonts w:ascii="Arial" w:hAnsi="Arial" w:cs="Arial"/>
        </w:rPr>
        <w:t>dictate</w:t>
      </w:r>
      <w:r w:rsidRPr="003214C0">
        <w:rPr>
          <w:rFonts w:ascii="Arial" w:hAnsi="Arial" w:cs="Arial"/>
        </w:rPr>
        <w:t xml:space="preserve"> and </w:t>
      </w:r>
      <w:r>
        <w:rPr>
          <w:rFonts w:ascii="Arial" w:hAnsi="Arial" w:cs="Arial"/>
        </w:rPr>
        <w:t>allocate</w:t>
      </w:r>
      <w:r w:rsidRPr="003214C0">
        <w:rPr>
          <w:rFonts w:ascii="Arial" w:hAnsi="Arial" w:cs="Arial"/>
        </w:rPr>
        <w:t xml:space="preserve"> the resources among the UEs within the cell.</w:t>
      </w:r>
    </w:p>
    <w:p w14:paraId="3111A5A5" w14:textId="77777777" w:rsidR="0005593A" w:rsidRDefault="0005593A" w:rsidP="0005593A">
      <w:pPr>
        <w:pStyle w:val="Observation"/>
      </w:pPr>
      <w:bookmarkStart w:id="42" w:name="_Toc83986729"/>
      <w:r>
        <w:t>Complete autonomous UE based beam switching is against the level of control that network should have over the UE behavior.</w:t>
      </w:r>
      <w:bookmarkEnd w:id="42"/>
    </w:p>
    <w:p w14:paraId="0D0C7580" w14:textId="77777777" w:rsidR="0005593A" w:rsidRDefault="0005593A" w:rsidP="0005593A">
      <w:pPr>
        <w:jc w:val="both"/>
        <w:rPr>
          <w:rFonts w:ascii="Arial" w:hAnsi="Arial" w:cs="Arial"/>
        </w:rPr>
      </w:pPr>
      <w:r w:rsidRPr="003214C0">
        <w:rPr>
          <w:rFonts w:ascii="Arial" w:hAnsi="Arial" w:cs="Arial"/>
        </w:rPr>
        <w:t xml:space="preserve">One </w:t>
      </w:r>
      <w:r>
        <w:rPr>
          <w:rFonts w:ascii="Arial" w:hAnsi="Arial" w:cs="Arial"/>
        </w:rPr>
        <w:t xml:space="preserve">might consider </w:t>
      </w:r>
      <w:r w:rsidRPr="003214C0">
        <w:rPr>
          <w:rFonts w:ascii="Arial" w:hAnsi="Arial" w:cs="Arial"/>
        </w:rPr>
        <w:t>reduc</w:t>
      </w:r>
      <w:r>
        <w:rPr>
          <w:rFonts w:ascii="Arial" w:hAnsi="Arial" w:cs="Arial"/>
        </w:rPr>
        <w:t>ing</w:t>
      </w:r>
      <w:r w:rsidRPr="003214C0">
        <w:rPr>
          <w:rFonts w:ascii="Arial" w:hAnsi="Arial" w:cs="Arial"/>
        </w:rPr>
        <w:t xml:space="preserve"> signaling overhead and latency by providing UE with assistance information. </w:t>
      </w:r>
      <w:r>
        <w:rPr>
          <w:rFonts w:ascii="Arial" w:hAnsi="Arial" w:cs="Arial"/>
        </w:rPr>
        <w:t>But</w:t>
      </w:r>
      <w:r w:rsidRPr="003214C0">
        <w:rPr>
          <w:rFonts w:ascii="Arial" w:hAnsi="Arial" w:cs="Arial"/>
        </w:rPr>
        <w:t xml:space="preserve"> </w:t>
      </w:r>
      <w:r>
        <w:rPr>
          <w:rFonts w:ascii="Arial" w:hAnsi="Arial" w:cs="Arial"/>
        </w:rPr>
        <w:t xml:space="preserve">there is also much signaling imposed by providing the extra </w:t>
      </w:r>
      <w:r w:rsidRPr="003214C0">
        <w:rPr>
          <w:rFonts w:ascii="Arial" w:hAnsi="Arial" w:cs="Arial"/>
        </w:rPr>
        <w:t>assistance information</w:t>
      </w:r>
      <w:r>
        <w:rPr>
          <w:rFonts w:ascii="Arial" w:hAnsi="Arial" w:cs="Arial"/>
        </w:rPr>
        <w:t xml:space="preserve"> to the UE</w:t>
      </w:r>
      <w:r w:rsidRPr="003214C0">
        <w:rPr>
          <w:rFonts w:ascii="Arial" w:hAnsi="Arial" w:cs="Arial"/>
        </w:rPr>
        <w:t>. Also</w:t>
      </w:r>
      <w:r>
        <w:rPr>
          <w:rFonts w:ascii="Arial" w:hAnsi="Arial" w:cs="Arial"/>
        </w:rPr>
        <w:t>,</w:t>
      </w:r>
      <w:r w:rsidRPr="003214C0">
        <w:rPr>
          <w:rFonts w:ascii="Arial" w:hAnsi="Arial" w:cs="Arial"/>
        </w:rPr>
        <w:t xml:space="preserve"> providing this information is not one time job but requires continuous</w:t>
      </w:r>
      <w:r>
        <w:rPr>
          <w:rFonts w:ascii="Arial" w:hAnsi="Arial" w:cs="Arial"/>
        </w:rPr>
        <w:t xml:space="preserve"> updates, resulting in </w:t>
      </w:r>
      <w:r w:rsidRPr="003214C0">
        <w:rPr>
          <w:rFonts w:ascii="Arial" w:hAnsi="Arial" w:cs="Arial"/>
        </w:rPr>
        <w:t>some de</w:t>
      </w:r>
      <w:r>
        <w:rPr>
          <w:rFonts w:ascii="Arial" w:hAnsi="Arial" w:cs="Arial"/>
        </w:rPr>
        <w:t>la</w:t>
      </w:r>
      <w:r w:rsidRPr="003214C0">
        <w:rPr>
          <w:rFonts w:ascii="Arial" w:hAnsi="Arial" w:cs="Arial"/>
        </w:rPr>
        <w:t xml:space="preserve">y to the procedure. </w:t>
      </w:r>
      <w:r>
        <w:rPr>
          <w:rFonts w:ascii="Arial" w:hAnsi="Arial" w:cs="Arial"/>
        </w:rPr>
        <w:t>Therefore</w:t>
      </w:r>
      <w:r w:rsidRPr="003214C0">
        <w:rPr>
          <w:rFonts w:ascii="Arial" w:hAnsi="Arial" w:cs="Arial"/>
        </w:rPr>
        <w:t>, a tho</w:t>
      </w:r>
      <w:r>
        <w:rPr>
          <w:rFonts w:ascii="Arial" w:hAnsi="Arial" w:cs="Arial"/>
        </w:rPr>
        <w:t>rou</w:t>
      </w:r>
      <w:r w:rsidRPr="003214C0">
        <w:rPr>
          <w:rFonts w:ascii="Arial" w:hAnsi="Arial" w:cs="Arial"/>
        </w:rPr>
        <w:t>gh study needs to be done to assess whether the new delay and signaling</w:t>
      </w:r>
      <w:r>
        <w:rPr>
          <w:rFonts w:ascii="Arial" w:hAnsi="Arial" w:cs="Arial"/>
        </w:rPr>
        <w:t xml:space="preserve"> overhead introduced by providing assistance information</w:t>
      </w:r>
      <w:r w:rsidRPr="003214C0">
        <w:rPr>
          <w:rFonts w:ascii="Arial" w:hAnsi="Arial" w:cs="Arial"/>
        </w:rPr>
        <w:t xml:space="preserve"> </w:t>
      </w:r>
      <w:r>
        <w:rPr>
          <w:rFonts w:ascii="Arial" w:hAnsi="Arial" w:cs="Arial"/>
        </w:rPr>
        <w:t>to the UE</w:t>
      </w:r>
      <w:r w:rsidRPr="003214C0">
        <w:rPr>
          <w:rFonts w:ascii="Arial" w:hAnsi="Arial" w:cs="Arial"/>
        </w:rPr>
        <w:t xml:space="preserve"> justifies </w:t>
      </w:r>
      <w:r>
        <w:rPr>
          <w:rFonts w:ascii="Arial" w:hAnsi="Arial" w:cs="Arial"/>
        </w:rPr>
        <w:t xml:space="preserve">introducing </w:t>
      </w:r>
      <w:r w:rsidRPr="003214C0">
        <w:rPr>
          <w:rFonts w:ascii="Arial" w:hAnsi="Arial" w:cs="Arial"/>
        </w:rPr>
        <w:t xml:space="preserve">UE </w:t>
      </w:r>
      <w:r>
        <w:rPr>
          <w:rFonts w:ascii="Arial" w:hAnsi="Arial" w:cs="Arial"/>
        </w:rPr>
        <w:t>autonomous</w:t>
      </w:r>
      <w:r w:rsidRPr="003214C0">
        <w:rPr>
          <w:rFonts w:ascii="Arial" w:hAnsi="Arial" w:cs="Arial"/>
        </w:rPr>
        <w:t xml:space="preserve"> beam/BWP switching </w:t>
      </w:r>
      <w:r>
        <w:rPr>
          <w:rFonts w:ascii="Arial" w:hAnsi="Arial" w:cs="Arial"/>
        </w:rPr>
        <w:t xml:space="preserve">enhancement </w:t>
      </w:r>
      <w:r w:rsidRPr="003214C0">
        <w:rPr>
          <w:rFonts w:ascii="Arial" w:hAnsi="Arial" w:cs="Arial"/>
        </w:rPr>
        <w:t>or not.</w:t>
      </w:r>
    </w:p>
    <w:p w14:paraId="320458B6" w14:textId="77777777" w:rsidR="0005593A" w:rsidRPr="003214C0" w:rsidRDefault="0005593A" w:rsidP="0005593A">
      <w:pPr>
        <w:pStyle w:val="Observation"/>
      </w:pPr>
      <w:bookmarkStart w:id="43" w:name="_Toc83986730"/>
      <w:r>
        <w:t>Providing assistance information to UE for the UE autonomous beam/BWP switching imposes signaling overhead and introduces delay.</w:t>
      </w:r>
      <w:bookmarkEnd w:id="43"/>
      <w:r>
        <w:t xml:space="preserve">  </w:t>
      </w:r>
    </w:p>
    <w:p w14:paraId="6BCC1435" w14:textId="77777777" w:rsidR="0005593A" w:rsidRDefault="0005593A" w:rsidP="0005593A">
      <w:pPr>
        <w:jc w:val="both"/>
        <w:rPr>
          <w:rFonts w:ascii="Arial" w:hAnsi="Arial" w:cs="Arial"/>
        </w:rPr>
      </w:pPr>
      <w:r w:rsidRPr="00782F48">
        <w:rPr>
          <w:rFonts w:ascii="Arial" w:hAnsi="Arial" w:cs="Arial"/>
        </w:rPr>
        <w:t>Based on above discussion</w:t>
      </w:r>
      <w:r>
        <w:rPr>
          <w:rFonts w:ascii="Arial" w:hAnsi="Arial" w:cs="Arial"/>
        </w:rPr>
        <w:t>,</w:t>
      </w:r>
      <w:r w:rsidRPr="00782F48">
        <w:rPr>
          <w:rFonts w:ascii="Arial" w:hAnsi="Arial" w:cs="Arial"/>
        </w:rPr>
        <w:t xml:space="preserve"> we have</w:t>
      </w:r>
      <w:r>
        <w:rPr>
          <w:rFonts w:ascii="Arial" w:hAnsi="Arial" w:cs="Arial"/>
        </w:rPr>
        <w:t xml:space="preserve"> the</w:t>
      </w:r>
      <w:r w:rsidRPr="00782F48">
        <w:rPr>
          <w:rFonts w:ascii="Arial" w:hAnsi="Arial" w:cs="Arial"/>
        </w:rPr>
        <w:t xml:space="preserve"> following proposal:</w:t>
      </w:r>
    </w:p>
    <w:p w14:paraId="0F302A25" w14:textId="46E31748" w:rsidR="0005593A" w:rsidRDefault="0005593A" w:rsidP="0005593A">
      <w:pPr>
        <w:pStyle w:val="Proposal"/>
      </w:pPr>
      <w:bookmarkStart w:id="44" w:name="_Toc83986747"/>
      <w:r>
        <w:t>R</w:t>
      </w:r>
      <w:r w:rsidRPr="00264B80">
        <w:t xml:space="preserve">egarding </w:t>
      </w:r>
      <w:r w:rsidR="00A82A66" w:rsidRPr="00A82A66">
        <w:t>UE Autonomous beam switching</w:t>
      </w:r>
      <w:r w:rsidRPr="00264B80">
        <w:t xml:space="preserve">, </w:t>
      </w:r>
      <w:r w:rsidRPr="008D4353">
        <w:t xml:space="preserve">the following </w:t>
      </w:r>
      <w:r>
        <w:t>aspects need to be studied first</w:t>
      </w:r>
      <w:r w:rsidRPr="008D4353">
        <w:t>:</w:t>
      </w:r>
      <w:bookmarkEnd w:id="44"/>
    </w:p>
    <w:p w14:paraId="45CD8EB4" w14:textId="77777777" w:rsidR="0005593A" w:rsidRPr="001737BB" w:rsidRDefault="0005593A" w:rsidP="009618EB">
      <w:pPr>
        <w:pStyle w:val="Proposal"/>
        <w:numPr>
          <w:ilvl w:val="2"/>
          <w:numId w:val="27"/>
        </w:numPr>
      </w:pPr>
      <w:bookmarkStart w:id="45" w:name="_Toc83986748"/>
      <w:r>
        <w:t>Investigation of the needed assistance information and assessment of the amount of specification effort.</w:t>
      </w:r>
      <w:bookmarkEnd w:id="45"/>
    </w:p>
    <w:p w14:paraId="79E8713E" w14:textId="77777777" w:rsidR="0005593A" w:rsidRDefault="0005593A" w:rsidP="009618EB">
      <w:pPr>
        <w:pStyle w:val="Proposal"/>
        <w:numPr>
          <w:ilvl w:val="2"/>
          <w:numId w:val="27"/>
        </w:numPr>
      </w:pPr>
      <w:bookmarkStart w:id="46" w:name="_Toc83986749"/>
      <w:r>
        <w:t xml:space="preserve">The signaling overhead introduced by </w:t>
      </w:r>
      <w:proofErr w:type="gramStart"/>
      <w:r>
        <w:t>providing assistance</w:t>
      </w:r>
      <w:proofErr w:type="gramEnd"/>
      <w:r>
        <w:t xml:space="preserve"> information versus that of the current switching methods.</w:t>
      </w:r>
      <w:bookmarkEnd w:id="46"/>
      <w:r>
        <w:t xml:space="preserve"> </w:t>
      </w:r>
    </w:p>
    <w:p w14:paraId="654D6044" w14:textId="77777777" w:rsidR="0005593A" w:rsidRPr="004361AE" w:rsidRDefault="0005593A" w:rsidP="009618EB">
      <w:pPr>
        <w:pStyle w:val="Proposal"/>
        <w:numPr>
          <w:ilvl w:val="2"/>
          <w:numId w:val="27"/>
        </w:numPr>
      </w:pPr>
      <w:bookmarkStart w:id="47" w:name="_Toc83986750"/>
      <w:r>
        <w:t xml:space="preserve">The signaling delay introduced by </w:t>
      </w:r>
      <w:proofErr w:type="gramStart"/>
      <w:r>
        <w:t>providing assistance</w:t>
      </w:r>
      <w:proofErr w:type="gramEnd"/>
      <w:r>
        <w:t xml:space="preserve"> information versus that of the current switching methods.</w:t>
      </w:r>
      <w:bookmarkEnd w:id="47"/>
    </w:p>
    <w:p w14:paraId="63E53D8E" w14:textId="77777777" w:rsidR="0005593A" w:rsidRPr="004C2B7C" w:rsidRDefault="0005593A" w:rsidP="004C2B7C">
      <w:pPr>
        <w:rPr>
          <w:lang w:val="en-GB" w:eastAsia="ja-JP"/>
        </w:rPr>
      </w:pPr>
    </w:p>
    <w:sectPr w:rsidR="0005593A" w:rsidRPr="004C2B7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EE8E5" w14:textId="77777777" w:rsidR="00542064" w:rsidRDefault="00542064">
      <w:r>
        <w:separator/>
      </w:r>
    </w:p>
  </w:endnote>
  <w:endnote w:type="continuationSeparator" w:id="0">
    <w:p w14:paraId="6E893318" w14:textId="77777777" w:rsidR="00542064" w:rsidRDefault="00542064">
      <w:r>
        <w:continuationSeparator/>
      </w:r>
    </w:p>
  </w:endnote>
  <w:endnote w:type="continuationNotice" w:id="1">
    <w:p w14:paraId="04A97AA1" w14:textId="77777777" w:rsidR="00542064" w:rsidRDefault="005420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D6969" w:rsidRDefault="003D6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DF9C1" w14:textId="77777777" w:rsidR="00542064" w:rsidRDefault="00542064">
      <w:r>
        <w:separator/>
      </w:r>
    </w:p>
  </w:footnote>
  <w:footnote w:type="continuationSeparator" w:id="0">
    <w:p w14:paraId="7DE30247" w14:textId="77777777" w:rsidR="00542064" w:rsidRDefault="00542064">
      <w:r>
        <w:continuationSeparator/>
      </w:r>
    </w:p>
  </w:footnote>
  <w:footnote w:type="continuationNotice" w:id="1">
    <w:p w14:paraId="60562C8A" w14:textId="77777777" w:rsidR="00542064" w:rsidRDefault="005420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D6969" w:rsidRDefault="003D69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361BE"/>
    <w:multiLevelType w:val="hybridMultilevel"/>
    <w:tmpl w:val="650031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A586FB6"/>
    <w:lvl w:ilvl="0" w:tplc="0772070A">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15717"/>
    <w:multiLevelType w:val="hybridMultilevel"/>
    <w:tmpl w:val="8EB08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195693"/>
    <w:multiLevelType w:val="hybridMultilevel"/>
    <w:tmpl w:val="3892BF66"/>
    <w:lvl w:ilvl="0" w:tplc="04090017">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88000A"/>
    <w:multiLevelType w:val="hybridMultilevel"/>
    <w:tmpl w:val="3BDA9D0E"/>
    <w:lvl w:ilvl="0" w:tplc="78A864BC">
      <w:start w:val="1"/>
      <w:numFmt w:val="decimal"/>
      <w:lvlText w:val="Proposal %1"/>
      <w:lvlJc w:val="left"/>
      <w:pPr>
        <w:tabs>
          <w:tab w:val="num" w:pos="1304"/>
        </w:tabs>
        <w:ind w:left="1304" w:hanging="1304"/>
      </w:pPr>
      <w:rPr>
        <w:rFonts w:hint="default"/>
      </w:rPr>
    </w:lvl>
    <w:lvl w:ilvl="1" w:tplc="04090017">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3741E4"/>
    <w:multiLevelType w:val="hybridMultilevel"/>
    <w:tmpl w:val="35906286"/>
    <w:lvl w:ilvl="0" w:tplc="78A864BC">
      <w:start w:val="1"/>
      <w:numFmt w:val="decimal"/>
      <w:lvlText w:val="Proposal %1"/>
      <w:lvlJc w:val="left"/>
      <w:pPr>
        <w:tabs>
          <w:tab w:val="num" w:pos="1304"/>
        </w:tabs>
        <w:ind w:left="1304" w:hanging="1304"/>
      </w:pPr>
      <w:rPr>
        <w:rFonts w:hint="default"/>
      </w:rPr>
    </w:lvl>
    <w:lvl w:ilvl="1" w:tplc="04090017">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210D55"/>
    <w:multiLevelType w:val="hybridMultilevel"/>
    <w:tmpl w:val="6C8A52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20"/>
  </w:num>
  <w:num w:numId="7">
    <w:abstractNumId w:val="7"/>
  </w:num>
  <w:num w:numId="8">
    <w:abstractNumId w:val="8"/>
  </w:num>
  <w:num w:numId="9">
    <w:abstractNumId w:val="5"/>
  </w:num>
  <w:num w:numId="10">
    <w:abstractNumId w:val="25"/>
  </w:num>
  <w:num w:numId="11">
    <w:abstractNumId w:val="10"/>
  </w:num>
  <w:num w:numId="12">
    <w:abstractNumId w:val="23"/>
  </w:num>
  <w:num w:numId="13">
    <w:abstractNumId w:val="9"/>
  </w:num>
  <w:num w:numId="14">
    <w:abstractNumId w:val="2"/>
  </w:num>
  <w:num w:numId="15">
    <w:abstractNumId w:val="4"/>
  </w:num>
  <w:num w:numId="16">
    <w:abstractNumId w:val="3"/>
  </w:num>
  <w:num w:numId="17">
    <w:abstractNumId w:val="12"/>
  </w:num>
  <w:num w:numId="18">
    <w:abstractNumId w:val="26"/>
  </w:num>
  <w:num w:numId="19">
    <w:abstractNumId w:val="18"/>
  </w:num>
  <w:num w:numId="20">
    <w:abstractNumId w:val="22"/>
  </w:num>
  <w:num w:numId="21">
    <w:abstractNumId w:val="17"/>
  </w:num>
  <w:num w:numId="22">
    <w:abstractNumId w:val="6"/>
  </w:num>
  <w:num w:numId="23">
    <w:abstractNumId w:val="1"/>
  </w:num>
  <w:num w:numId="24">
    <w:abstractNumId w:val="13"/>
  </w:num>
  <w:num w:numId="25">
    <w:abstractNumId w:val="19"/>
  </w:num>
  <w:num w:numId="26">
    <w:abstractNumId w:val="24"/>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387"/>
    <w:rsid w:val="00002791"/>
    <w:rsid w:val="00002A37"/>
    <w:rsid w:val="00002C97"/>
    <w:rsid w:val="0000564C"/>
    <w:rsid w:val="000058B7"/>
    <w:rsid w:val="00006446"/>
    <w:rsid w:val="00006896"/>
    <w:rsid w:val="00007BFF"/>
    <w:rsid w:val="00007CDC"/>
    <w:rsid w:val="00010213"/>
    <w:rsid w:val="00010F01"/>
    <w:rsid w:val="00011B28"/>
    <w:rsid w:val="00011EC5"/>
    <w:rsid w:val="00012495"/>
    <w:rsid w:val="00012C03"/>
    <w:rsid w:val="00014EF6"/>
    <w:rsid w:val="000154EF"/>
    <w:rsid w:val="00015CC2"/>
    <w:rsid w:val="00015D15"/>
    <w:rsid w:val="0001662E"/>
    <w:rsid w:val="00020BB4"/>
    <w:rsid w:val="00020D34"/>
    <w:rsid w:val="00021BCA"/>
    <w:rsid w:val="00021E3D"/>
    <w:rsid w:val="00022580"/>
    <w:rsid w:val="0002306C"/>
    <w:rsid w:val="00023A67"/>
    <w:rsid w:val="000250B9"/>
    <w:rsid w:val="000255F2"/>
    <w:rsid w:val="0002564D"/>
    <w:rsid w:val="00025AEA"/>
    <w:rsid w:val="00025ECA"/>
    <w:rsid w:val="00026E66"/>
    <w:rsid w:val="00027098"/>
    <w:rsid w:val="000325B8"/>
    <w:rsid w:val="00033A33"/>
    <w:rsid w:val="0003486C"/>
    <w:rsid w:val="00034C15"/>
    <w:rsid w:val="00035AB0"/>
    <w:rsid w:val="00036278"/>
    <w:rsid w:val="00036BA1"/>
    <w:rsid w:val="00036CBD"/>
    <w:rsid w:val="000410DB"/>
    <w:rsid w:val="00041D4A"/>
    <w:rsid w:val="000422E2"/>
    <w:rsid w:val="000428E8"/>
    <w:rsid w:val="00042F22"/>
    <w:rsid w:val="00042F82"/>
    <w:rsid w:val="000433AE"/>
    <w:rsid w:val="0004355B"/>
    <w:rsid w:val="00043953"/>
    <w:rsid w:val="00043A70"/>
    <w:rsid w:val="000440A2"/>
    <w:rsid w:val="000444EF"/>
    <w:rsid w:val="0004496F"/>
    <w:rsid w:val="00044C2B"/>
    <w:rsid w:val="00044C67"/>
    <w:rsid w:val="0004753F"/>
    <w:rsid w:val="00050E5F"/>
    <w:rsid w:val="0005105C"/>
    <w:rsid w:val="00052781"/>
    <w:rsid w:val="0005287E"/>
    <w:rsid w:val="00052A07"/>
    <w:rsid w:val="00052AFD"/>
    <w:rsid w:val="000534E3"/>
    <w:rsid w:val="00053C35"/>
    <w:rsid w:val="0005406E"/>
    <w:rsid w:val="00054E81"/>
    <w:rsid w:val="0005593A"/>
    <w:rsid w:val="0005606A"/>
    <w:rsid w:val="00056B2E"/>
    <w:rsid w:val="00057117"/>
    <w:rsid w:val="00057A10"/>
    <w:rsid w:val="000605B3"/>
    <w:rsid w:val="0006060C"/>
    <w:rsid w:val="00060C63"/>
    <w:rsid w:val="000616E1"/>
    <w:rsid w:val="000616E7"/>
    <w:rsid w:val="00061A84"/>
    <w:rsid w:val="00062BDA"/>
    <w:rsid w:val="0006386E"/>
    <w:rsid w:val="0006487E"/>
    <w:rsid w:val="0006535A"/>
    <w:rsid w:val="00065E1A"/>
    <w:rsid w:val="00071150"/>
    <w:rsid w:val="0007155D"/>
    <w:rsid w:val="00071775"/>
    <w:rsid w:val="00072471"/>
    <w:rsid w:val="00072AA5"/>
    <w:rsid w:val="000738AC"/>
    <w:rsid w:val="000748AA"/>
    <w:rsid w:val="00075AFD"/>
    <w:rsid w:val="0007680D"/>
    <w:rsid w:val="00077468"/>
    <w:rsid w:val="00077E5F"/>
    <w:rsid w:val="0008036A"/>
    <w:rsid w:val="00080802"/>
    <w:rsid w:val="00080C97"/>
    <w:rsid w:val="00081160"/>
    <w:rsid w:val="0008193D"/>
    <w:rsid w:val="00081AE6"/>
    <w:rsid w:val="00081C5A"/>
    <w:rsid w:val="00081E7D"/>
    <w:rsid w:val="00082458"/>
    <w:rsid w:val="0008274B"/>
    <w:rsid w:val="00083A0D"/>
    <w:rsid w:val="000855EB"/>
    <w:rsid w:val="0008583D"/>
    <w:rsid w:val="00085B52"/>
    <w:rsid w:val="00086228"/>
    <w:rsid w:val="0008658E"/>
    <w:rsid w:val="000866F2"/>
    <w:rsid w:val="000868B1"/>
    <w:rsid w:val="0009009F"/>
    <w:rsid w:val="00091557"/>
    <w:rsid w:val="000924C1"/>
    <w:rsid w:val="000924F0"/>
    <w:rsid w:val="0009253B"/>
    <w:rsid w:val="00093474"/>
    <w:rsid w:val="0009370F"/>
    <w:rsid w:val="000938F7"/>
    <w:rsid w:val="00094E11"/>
    <w:rsid w:val="0009510F"/>
    <w:rsid w:val="000951A0"/>
    <w:rsid w:val="000A08DC"/>
    <w:rsid w:val="000A1B7B"/>
    <w:rsid w:val="000A237E"/>
    <w:rsid w:val="000A30B9"/>
    <w:rsid w:val="000A4593"/>
    <w:rsid w:val="000A4DD6"/>
    <w:rsid w:val="000A5107"/>
    <w:rsid w:val="000A56F2"/>
    <w:rsid w:val="000A580C"/>
    <w:rsid w:val="000A665C"/>
    <w:rsid w:val="000A6E5E"/>
    <w:rsid w:val="000A7886"/>
    <w:rsid w:val="000B078B"/>
    <w:rsid w:val="000B2601"/>
    <w:rsid w:val="000B2719"/>
    <w:rsid w:val="000B3A8F"/>
    <w:rsid w:val="000B4772"/>
    <w:rsid w:val="000B4AB9"/>
    <w:rsid w:val="000B4BFB"/>
    <w:rsid w:val="000B4F8D"/>
    <w:rsid w:val="000B5179"/>
    <w:rsid w:val="000B58C3"/>
    <w:rsid w:val="000B5B4E"/>
    <w:rsid w:val="000B61DA"/>
    <w:rsid w:val="000B61E9"/>
    <w:rsid w:val="000B71EB"/>
    <w:rsid w:val="000B72C0"/>
    <w:rsid w:val="000C010F"/>
    <w:rsid w:val="000C1148"/>
    <w:rsid w:val="000C14E8"/>
    <w:rsid w:val="000C165A"/>
    <w:rsid w:val="000C2E19"/>
    <w:rsid w:val="000C3327"/>
    <w:rsid w:val="000C3441"/>
    <w:rsid w:val="000C3535"/>
    <w:rsid w:val="000C3678"/>
    <w:rsid w:val="000C3B99"/>
    <w:rsid w:val="000C3C55"/>
    <w:rsid w:val="000C42EF"/>
    <w:rsid w:val="000C459F"/>
    <w:rsid w:val="000C4624"/>
    <w:rsid w:val="000C4F3E"/>
    <w:rsid w:val="000C51EC"/>
    <w:rsid w:val="000C5BC4"/>
    <w:rsid w:val="000C6F25"/>
    <w:rsid w:val="000C72EF"/>
    <w:rsid w:val="000C7772"/>
    <w:rsid w:val="000C7E89"/>
    <w:rsid w:val="000D025F"/>
    <w:rsid w:val="000D0D07"/>
    <w:rsid w:val="000D2055"/>
    <w:rsid w:val="000D21FA"/>
    <w:rsid w:val="000D2359"/>
    <w:rsid w:val="000D2A4E"/>
    <w:rsid w:val="000D2AFA"/>
    <w:rsid w:val="000D3978"/>
    <w:rsid w:val="000D3D44"/>
    <w:rsid w:val="000D3D4C"/>
    <w:rsid w:val="000D4797"/>
    <w:rsid w:val="000D4AE5"/>
    <w:rsid w:val="000D4B72"/>
    <w:rsid w:val="000D57CC"/>
    <w:rsid w:val="000D614F"/>
    <w:rsid w:val="000D7F1F"/>
    <w:rsid w:val="000E0527"/>
    <w:rsid w:val="000E07BD"/>
    <w:rsid w:val="000E1B94"/>
    <w:rsid w:val="000E1DD7"/>
    <w:rsid w:val="000E1E92"/>
    <w:rsid w:val="000E2BE5"/>
    <w:rsid w:val="000E2EF5"/>
    <w:rsid w:val="000E369D"/>
    <w:rsid w:val="000E36AB"/>
    <w:rsid w:val="000E40DB"/>
    <w:rsid w:val="000E5128"/>
    <w:rsid w:val="000E5D68"/>
    <w:rsid w:val="000E6153"/>
    <w:rsid w:val="000E651B"/>
    <w:rsid w:val="000F06D6"/>
    <w:rsid w:val="000F0797"/>
    <w:rsid w:val="000F0DE2"/>
    <w:rsid w:val="000F0EB1"/>
    <w:rsid w:val="000F1106"/>
    <w:rsid w:val="000F30DE"/>
    <w:rsid w:val="000F36A4"/>
    <w:rsid w:val="000F3BE9"/>
    <w:rsid w:val="000F3C72"/>
    <w:rsid w:val="000F3F6C"/>
    <w:rsid w:val="000F4639"/>
    <w:rsid w:val="000F5803"/>
    <w:rsid w:val="000F6DF3"/>
    <w:rsid w:val="000F7FD8"/>
    <w:rsid w:val="001005FF"/>
    <w:rsid w:val="001008E1"/>
    <w:rsid w:val="001008EB"/>
    <w:rsid w:val="00101B52"/>
    <w:rsid w:val="00102051"/>
    <w:rsid w:val="001020BA"/>
    <w:rsid w:val="001024F1"/>
    <w:rsid w:val="00102E1D"/>
    <w:rsid w:val="0010311E"/>
    <w:rsid w:val="0010322E"/>
    <w:rsid w:val="00104F73"/>
    <w:rsid w:val="001051FD"/>
    <w:rsid w:val="001054AB"/>
    <w:rsid w:val="0010569C"/>
    <w:rsid w:val="00105EE7"/>
    <w:rsid w:val="001062FB"/>
    <w:rsid w:val="001063E6"/>
    <w:rsid w:val="0010686F"/>
    <w:rsid w:val="00107016"/>
    <w:rsid w:val="00107CD8"/>
    <w:rsid w:val="00110245"/>
    <w:rsid w:val="0011094A"/>
    <w:rsid w:val="00111A47"/>
    <w:rsid w:val="00111B63"/>
    <w:rsid w:val="001122B4"/>
    <w:rsid w:val="00113CF4"/>
    <w:rsid w:val="001143CC"/>
    <w:rsid w:val="00114496"/>
    <w:rsid w:val="00114AE3"/>
    <w:rsid w:val="001153EA"/>
    <w:rsid w:val="00115643"/>
    <w:rsid w:val="00116765"/>
    <w:rsid w:val="0011691C"/>
    <w:rsid w:val="00116CD0"/>
    <w:rsid w:val="00117814"/>
    <w:rsid w:val="001206CC"/>
    <w:rsid w:val="00120AD4"/>
    <w:rsid w:val="001219F5"/>
    <w:rsid w:val="00121A20"/>
    <w:rsid w:val="0012278F"/>
    <w:rsid w:val="001233E2"/>
    <w:rsid w:val="0012377F"/>
    <w:rsid w:val="00124314"/>
    <w:rsid w:val="00125228"/>
    <w:rsid w:val="00126681"/>
    <w:rsid w:val="00126B4A"/>
    <w:rsid w:val="00126B7B"/>
    <w:rsid w:val="001274D4"/>
    <w:rsid w:val="00127A8D"/>
    <w:rsid w:val="001303E2"/>
    <w:rsid w:val="001311AE"/>
    <w:rsid w:val="001313C4"/>
    <w:rsid w:val="0013197F"/>
    <w:rsid w:val="00132D1D"/>
    <w:rsid w:val="00132D6B"/>
    <w:rsid w:val="00132FD0"/>
    <w:rsid w:val="00133DD3"/>
    <w:rsid w:val="00133F6C"/>
    <w:rsid w:val="001344BF"/>
    <w:rsid w:val="001344C0"/>
    <w:rsid w:val="001346FA"/>
    <w:rsid w:val="00135252"/>
    <w:rsid w:val="00137458"/>
    <w:rsid w:val="00137AB5"/>
    <w:rsid w:val="00137C4F"/>
    <w:rsid w:val="00137F0B"/>
    <w:rsid w:val="00137F6C"/>
    <w:rsid w:val="001414D7"/>
    <w:rsid w:val="00141FA7"/>
    <w:rsid w:val="001439B0"/>
    <w:rsid w:val="00144B89"/>
    <w:rsid w:val="00145800"/>
    <w:rsid w:val="00145949"/>
    <w:rsid w:val="00145E96"/>
    <w:rsid w:val="0014677F"/>
    <w:rsid w:val="001470CE"/>
    <w:rsid w:val="0014779E"/>
    <w:rsid w:val="00147B9E"/>
    <w:rsid w:val="00150CD7"/>
    <w:rsid w:val="00151E23"/>
    <w:rsid w:val="001526E0"/>
    <w:rsid w:val="001528E9"/>
    <w:rsid w:val="001551B5"/>
    <w:rsid w:val="00155480"/>
    <w:rsid w:val="00156589"/>
    <w:rsid w:val="00156B5D"/>
    <w:rsid w:val="001604F2"/>
    <w:rsid w:val="001605DB"/>
    <w:rsid w:val="0016097D"/>
    <w:rsid w:val="00161575"/>
    <w:rsid w:val="00161B75"/>
    <w:rsid w:val="001621FF"/>
    <w:rsid w:val="001629EC"/>
    <w:rsid w:val="00162C1B"/>
    <w:rsid w:val="00162F3D"/>
    <w:rsid w:val="001639D9"/>
    <w:rsid w:val="00163DF4"/>
    <w:rsid w:val="00164076"/>
    <w:rsid w:val="001640BD"/>
    <w:rsid w:val="001659C1"/>
    <w:rsid w:val="0016666C"/>
    <w:rsid w:val="00167673"/>
    <w:rsid w:val="00171841"/>
    <w:rsid w:val="0017218B"/>
    <w:rsid w:val="001737BB"/>
    <w:rsid w:val="001738F2"/>
    <w:rsid w:val="00173A6C"/>
    <w:rsid w:val="00173A8E"/>
    <w:rsid w:val="001747C0"/>
    <w:rsid w:val="0017502C"/>
    <w:rsid w:val="00176243"/>
    <w:rsid w:val="00180705"/>
    <w:rsid w:val="00180BFA"/>
    <w:rsid w:val="0018143F"/>
    <w:rsid w:val="00181FF8"/>
    <w:rsid w:val="0018395C"/>
    <w:rsid w:val="00183A32"/>
    <w:rsid w:val="00183EF8"/>
    <w:rsid w:val="00183F43"/>
    <w:rsid w:val="00184345"/>
    <w:rsid w:val="00184BC0"/>
    <w:rsid w:val="00184CD4"/>
    <w:rsid w:val="00185E4A"/>
    <w:rsid w:val="00185FE1"/>
    <w:rsid w:val="00186769"/>
    <w:rsid w:val="0018683C"/>
    <w:rsid w:val="00186BE3"/>
    <w:rsid w:val="00186CCA"/>
    <w:rsid w:val="001909E3"/>
    <w:rsid w:val="00190AC1"/>
    <w:rsid w:val="00190CF6"/>
    <w:rsid w:val="001911BC"/>
    <w:rsid w:val="00191667"/>
    <w:rsid w:val="00193027"/>
    <w:rsid w:val="0019341A"/>
    <w:rsid w:val="00193A2F"/>
    <w:rsid w:val="00193ED7"/>
    <w:rsid w:val="001968B9"/>
    <w:rsid w:val="00196E0C"/>
    <w:rsid w:val="00197933"/>
    <w:rsid w:val="00197DF9"/>
    <w:rsid w:val="001A03B0"/>
    <w:rsid w:val="001A0630"/>
    <w:rsid w:val="001A06B6"/>
    <w:rsid w:val="001A0EDA"/>
    <w:rsid w:val="001A1987"/>
    <w:rsid w:val="001A1CED"/>
    <w:rsid w:val="001A1F60"/>
    <w:rsid w:val="001A2564"/>
    <w:rsid w:val="001A2858"/>
    <w:rsid w:val="001A29D7"/>
    <w:rsid w:val="001A2CB5"/>
    <w:rsid w:val="001A3E7B"/>
    <w:rsid w:val="001A512B"/>
    <w:rsid w:val="001A59F9"/>
    <w:rsid w:val="001A5A7B"/>
    <w:rsid w:val="001A5B57"/>
    <w:rsid w:val="001A5C1C"/>
    <w:rsid w:val="001A5C53"/>
    <w:rsid w:val="001A5F42"/>
    <w:rsid w:val="001A6173"/>
    <w:rsid w:val="001A68CD"/>
    <w:rsid w:val="001A6CBA"/>
    <w:rsid w:val="001B0D97"/>
    <w:rsid w:val="001B15CB"/>
    <w:rsid w:val="001B15E6"/>
    <w:rsid w:val="001B1DD7"/>
    <w:rsid w:val="001B2D95"/>
    <w:rsid w:val="001B308B"/>
    <w:rsid w:val="001B50C0"/>
    <w:rsid w:val="001B5A5D"/>
    <w:rsid w:val="001B68B6"/>
    <w:rsid w:val="001B735F"/>
    <w:rsid w:val="001B76EA"/>
    <w:rsid w:val="001C0103"/>
    <w:rsid w:val="001C1466"/>
    <w:rsid w:val="001C1823"/>
    <w:rsid w:val="001C1CE5"/>
    <w:rsid w:val="001C202E"/>
    <w:rsid w:val="001C22D6"/>
    <w:rsid w:val="001C3D2A"/>
    <w:rsid w:val="001C3D58"/>
    <w:rsid w:val="001C3DC9"/>
    <w:rsid w:val="001C4066"/>
    <w:rsid w:val="001C50DB"/>
    <w:rsid w:val="001C5BA7"/>
    <w:rsid w:val="001C7349"/>
    <w:rsid w:val="001C7D77"/>
    <w:rsid w:val="001D007C"/>
    <w:rsid w:val="001D09D0"/>
    <w:rsid w:val="001D17C6"/>
    <w:rsid w:val="001D1F2F"/>
    <w:rsid w:val="001D223F"/>
    <w:rsid w:val="001D260F"/>
    <w:rsid w:val="001D2EEE"/>
    <w:rsid w:val="001D343A"/>
    <w:rsid w:val="001D4CCA"/>
    <w:rsid w:val="001D51BA"/>
    <w:rsid w:val="001D53E7"/>
    <w:rsid w:val="001D5B35"/>
    <w:rsid w:val="001D6342"/>
    <w:rsid w:val="001D6D53"/>
    <w:rsid w:val="001D781B"/>
    <w:rsid w:val="001E0DB4"/>
    <w:rsid w:val="001E13D5"/>
    <w:rsid w:val="001E1624"/>
    <w:rsid w:val="001E24B4"/>
    <w:rsid w:val="001E32B7"/>
    <w:rsid w:val="001E3DD6"/>
    <w:rsid w:val="001E3DF5"/>
    <w:rsid w:val="001E3FB6"/>
    <w:rsid w:val="001E438D"/>
    <w:rsid w:val="001E44A9"/>
    <w:rsid w:val="001E4A88"/>
    <w:rsid w:val="001E5672"/>
    <w:rsid w:val="001E58E2"/>
    <w:rsid w:val="001E593B"/>
    <w:rsid w:val="001E6256"/>
    <w:rsid w:val="001E738D"/>
    <w:rsid w:val="001E7AED"/>
    <w:rsid w:val="001E7C13"/>
    <w:rsid w:val="001F07D7"/>
    <w:rsid w:val="001F2931"/>
    <w:rsid w:val="001F2F37"/>
    <w:rsid w:val="001F3916"/>
    <w:rsid w:val="001F3B46"/>
    <w:rsid w:val="001F4C67"/>
    <w:rsid w:val="001F4D8D"/>
    <w:rsid w:val="001F4FF7"/>
    <w:rsid w:val="001F54C5"/>
    <w:rsid w:val="001F576A"/>
    <w:rsid w:val="001F662C"/>
    <w:rsid w:val="001F7074"/>
    <w:rsid w:val="001F764B"/>
    <w:rsid w:val="00200400"/>
    <w:rsid w:val="00200490"/>
    <w:rsid w:val="00200540"/>
    <w:rsid w:val="00201101"/>
    <w:rsid w:val="00201462"/>
    <w:rsid w:val="002014DD"/>
    <w:rsid w:val="00201F3A"/>
    <w:rsid w:val="00203F56"/>
    <w:rsid w:val="00203F96"/>
    <w:rsid w:val="002045E4"/>
    <w:rsid w:val="00204952"/>
    <w:rsid w:val="002069B2"/>
    <w:rsid w:val="00207C2F"/>
    <w:rsid w:val="00207C8E"/>
    <w:rsid w:val="00207FA3"/>
    <w:rsid w:val="002115A2"/>
    <w:rsid w:val="00211B9C"/>
    <w:rsid w:val="00211F72"/>
    <w:rsid w:val="00212BF5"/>
    <w:rsid w:val="00213122"/>
    <w:rsid w:val="00214DA8"/>
    <w:rsid w:val="00215423"/>
    <w:rsid w:val="002158FA"/>
    <w:rsid w:val="00215DAD"/>
    <w:rsid w:val="00215F27"/>
    <w:rsid w:val="00217921"/>
    <w:rsid w:val="00217BF9"/>
    <w:rsid w:val="00220600"/>
    <w:rsid w:val="00220A15"/>
    <w:rsid w:val="002214D6"/>
    <w:rsid w:val="002224DB"/>
    <w:rsid w:val="00223FCB"/>
    <w:rsid w:val="002252C3"/>
    <w:rsid w:val="002259AB"/>
    <w:rsid w:val="00225C54"/>
    <w:rsid w:val="0022614E"/>
    <w:rsid w:val="00226ABC"/>
    <w:rsid w:val="00227475"/>
    <w:rsid w:val="00230765"/>
    <w:rsid w:val="00230D18"/>
    <w:rsid w:val="0023122C"/>
    <w:rsid w:val="002318DA"/>
    <w:rsid w:val="002319E4"/>
    <w:rsid w:val="00232DC9"/>
    <w:rsid w:val="002331E7"/>
    <w:rsid w:val="002338B3"/>
    <w:rsid w:val="00234CB2"/>
    <w:rsid w:val="00234EFA"/>
    <w:rsid w:val="00235632"/>
    <w:rsid w:val="00235872"/>
    <w:rsid w:val="00235FE1"/>
    <w:rsid w:val="002362B3"/>
    <w:rsid w:val="002378FA"/>
    <w:rsid w:val="002403E6"/>
    <w:rsid w:val="00240BB4"/>
    <w:rsid w:val="00241559"/>
    <w:rsid w:val="002415B0"/>
    <w:rsid w:val="002421A6"/>
    <w:rsid w:val="00242481"/>
    <w:rsid w:val="00242F94"/>
    <w:rsid w:val="00243268"/>
    <w:rsid w:val="002435B3"/>
    <w:rsid w:val="00244670"/>
    <w:rsid w:val="002446BA"/>
    <w:rsid w:val="0024580F"/>
    <w:rsid w:val="002458EB"/>
    <w:rsid w:val="00247BF0"/>
    <w:rsid w:val="002500C8"/>
    <w:rsid w:val="00250F02"/>
    <w:rsid w:val="00251882"/>
    <w:rsid w:val="00252826"/>
    <w:rsid w:val="00252D4A"/>
    <w:rsid w:val="002532B4"/>
    <w:rsid w:val="00255835"/>
    <w:rsid w:val="00256209"/>
    <w:rsid w:val="00256808"/>
    <w:rsid w:val="00257079"/>
    <w:rsid w:val="00257543"/>
    <w:rsid w:val="002617E7"/>
    <w:rsid w:val="00261A00"/>
    <w:rsid w:val="00261C01"/>
    <w:rsid w:val="0026227D"/>
    <w:rsid w:val="00262676"/>
    <w:rsid w:val="00262905"/>
    <w:rsid w:val="00262BCE"/>
    <w:rsid w:val="00263BAB"/>
    <w:rsid w:val="00264228"/>
    <w:rsid w:val="002642C2"/>
    <w:rsid w:val="00264334"/>
    <w:rsid w:val="0026473E"/>
    <w:rsid w:val="00264B80"/>
    <w:rsid w:val="00265F7E"/>
    <w:rsid w:val="00266214"/>
    <w:rsid w:val="00266CB1"/>
    <w:rsid w:val="00267089"/>
    <w:rsid w:val="00267C83"/>
    <w:rsid w:val="00270874"/>
    <w:rsid w:val="0027144F"/>
    <w:rsid w:val="00271813"/>
    <w:rsid w:val="00271A3B"/>
    <w:rsid w:val="00271F3A"/>
    <w:rsid w:val="002725CD"/>
    <w:rsid w:val="0027301E"/>
    <w:rsid w:val="00273278"/>
    <w:rsid w:val="002737F4"/>
    <w:rsid w:val="00273999"/>
    <w:rsid w:val="0027554B"/>
    <w:rsid w:val="00275B83"/>
    <w:rsid w:val="00275DAD"/>
    <w:rsid w:val="00277E78"/>
    <w:rsid w:val="002805F5"/>
    <w:rsid w:val="00280751"/>
    <w:rsid w:val="002813CF"/>
    <w:rsid w:val="002813E0"/>
    <w:rsid w:val="00281D08"/>
    <w:rsid w:val="0028280A"/>
    <w:rsid w:val="002835D9"/>
    <w:rsid w:val="002835F3"/>
    <w:rsid w:val="0028373C"/>
    <w:rsid w:val="00283B9F"/>
    <w:rsid w:val="002862CA"/>
    <w:rsid w:val="00286810"/>
    <w:rsid w:val="00286ACD"/>
    <w:rsid w:val="00287838"/>
    <w:rsid w:val="00287E71"/>
    <w:rsid w:val="002907B5"/>
    <w:rsid w:val="002911D2"/>
    <w:rsid w:val="00291217"/>
    <w:rsid w:val="00291CB8"/>
    <w:rsid w:val="00292063"/>
    <w:rsid w:val="00292EB7"/>
    <w:rsid w:val="00292EC0"/>
    <w:rsid w:val="00293921"/>
    <w:rsid w:val="00293AFD"/>
    <w:rsid w:val="00293DB8"/>
    <w:rsid w:val="00294623"/>
    <w:rsid w:val="00295CDB"/>
    <w:rsid w:val="002961E8"/>
    <w:rsid w:val="00296227"/>
    <w:rsid w:val="002968CE"/>
    <w:rsid w:val="00296F44"/>
    <w:rsid w:val="0029777D"/>
    <w:rsid w:val="00297CE7"/>
    <w:rsid w:val="002A055E"/>
    <w:rsid w:val="002A0588"/>
    <w:rsid w:val="002A1586"/>
    <w:rsid w:val="002A1C7A"/>
    <w:rsid w:val="002A1D4E"/>
    <w:rsid w:val="002A2433"/>
    <w:rsid w:val="002A2869"/>
    <w:rsid w:val="002A3485"/>
    <w:rsid w:val="002A43FD"/>
    <w:rsid w:val="002A4470"/>
    <w:rsid w:val="002A56AB"/>
    <w:rsid w:val="002A61D6"/>
    <w:rsid w:val="002B040E"/>
    <w:rsid w:val="002B14E0"/>
    <w:rsid w:val="002B17BB"/>
    <w:rsid w:val="002B1C59"/>
    <w:rsid w:val="002B24D6"/>
    <w:rsid w:val="002B2A16"/>
    <w:rsid w:val="002B5553"/>
    <w:rsid w:val="002B5D42"/>
    <w:rsid w:val="002B626A"/>
    <w:rsid w:val="002B6720"/>
    <w:rsid w:val="002B75A7"/>
    <w:rsid w:val="002C0BCB"/>
    <w:rsid w:val="002C35C4"/>
    <w:rsid w:val="002C4191"/>
    <w:rsid w:val="002C41E6"/>
    <w:rsid w:val="002C4E9F"/>
    <w:rsid w:val="002C51BA"/>
    <w:rsid w:val="002C6F09"/>
    <w:rsid w:val="002D071A"/>
    <w:rsid w:val="002D08AC"/>
    <w:rsid w:val="002D0F39"/>
    <w:rsid w:val="002D24E0"/>
    <w:rsid w:val="002D34B2"/>
    <w:rsid w:val="002D48B0"/>
    <w:rsid w:val="002D490F"/>
    <w:rsid w:val="002D4DB6"/>
    <w:rsid w:val="002D5B37"/>
    <w:rsid w:val="002D6010"/>
    <w:rsid w:val="002D676D"/>
    <w:rsid w:val="002D70D8"/>
    <w:rsid w:val="002D7637"/>
    <w:rsid w:val="002D7E85"/>
    <w:rsid w:val="002E09EE"/>
    <w:rsid w:val="002E0C71"/>
    <w:rsid w:val="002E10BA"/>
    <w:rsid w:val="002E15BB"/>
    <w:rsid w:val="002E17F2"/>
    <w:rsid w:val="002E3576"/>
    <w:rsid w:val="002E448C"/>
    <w:rsid w:val="002E4498"/>
    <w:rsid w:val="002E583A"/>
    <w:rsid w:val="002E5CC3"/>
    <w:rsid w:val="002E76DD"/>
    <w:rsid w:val="002E7CAE"/>
    <w:rsid w:val="002F0D77"/>
    <w:rsid w:val="002F2771"/>
    <w:rsid w:val="002F3585"/>
    <w:rsid w:val="002F37A9"/>
    <w:rsid w:val="002F3F7D"/>
    <w:rsid w:val="002F4551"/>
    <w:rsid w:val="002F5755"/>
    <w:rsid w:val="002F670B"/>
    <w:rsid w:val="002F71C0"/>
    <w:rsid w:val="002F7557"/>
    <w:rsid w:val="002F7E5F"/>
    <w:rsid w:val="00301CE6"/>
    <w:rsid w:val="00301E26"/>
    <w:rsid w:val="0030256B"/>
    <w:rsid w:val="00303D64"/>
    <w:rsid w:val="0030501F"/>
    <w:rsid w:val="00305219"/>
    <w:rsid w:val="00307BA1"/>
    <w:rsid w:val="003111C0"/>
    <w:rsid w:val="0031162C"/>
    <w:rsid w:val="00311702"/>
    <w:rsid w:val="00311856"/>
    <w:rsid w:val="003118FF"/>
    <w:rsid w:val="00311988"/>
    <w:rsid w:val="00311E82"/>
    <w:rsid w:val="00312438"/>
    <w:rsid w:val="0031362A"/>
    <w:rsid w:val="00313B59"/>
    <w:rsid w:val="00313F4F"/>
    <w:rsid w:val="00313FD6"/>
    <w:rsid w:val="003143BD"/>
    <w:rsid w:val="003146A7"/>
    <w:rsid w:val="00315363"/>
    <w:rsid w:val="00316BEF"/>
    <w:rsid w:val="0031729B"/>
    <w:rsid w:val="003176FA"/>
    <w:rsid w:val="003203ED"/>
    <w:rsid w:val="003212D6"/>
    <w:rsid w:val="003214C0"/>
    <w:rsid w:val="00322187"/>
    <w:rsid w:val="00322C9F"/>
    <w:rsid w:val="0032382C"/>
    <w:rsid w:val="00323A6A"/>
    <w:rsid w:val="00323E5D"/>
    <w:rsid w:val="00323EA8"/>
    <w:rsid w:val="00324D23"/>
    <w:rsid w:val="00326E99"/>
    <w:rsid w:val="003302C3"/>
    <w:rsid w:val="003308CF"/>
    <w:rsid w:val="00331751"/>
    <w:rsid w:val="00332BC1"/>
    <w:rsid w:val="003335E2"/>
    <w:rsid w:val="0033369F"/>
    <w:rsid w:val="003342F0"/>
    <w:rsid w:val="00334579"/>
    <w:rsid w:val="00334CC0"/>
    <w:rsid w:val="00335858"/>
    <w:rsid w:val="00336BDA"/>
    <w:rsid w:val="00336C5D"/>
    <w:rsid w:val="00337365"/>
    <w:rsid w:val="003375F3"/>
    <w:rsid w:val="00337838"/>
    <w:rsid w:val="0034017F"/>
    <w:rsid w:val="003402ED"/>
    <w:rsid w:val="00340BD8"/>
    <w:rsid w:val="00341F06"/>
    <w:rsid w:val="00342050"/>
    <w:rsid w:val="00342201"/>
    <w:rsid w:val="00342BD7"/>
    <w:rsid w:val="00343902"/>
    <w:rsid w:val="003439DF"/>
    <w:rsid w:val="00343B8C"/>
    <w:rsid w:val="00344C67"/>
    <w:rsid w:val="003451E8"/>
    <w:rsid w:val="0034532C"/>
    <w:rsid w:val="00345CD7"/>
    <w:rsid w:val="00346DB5"/>
    <w:rsid w:val="00346EDC"/>
    <w:rsid w:val="003477B1"/>
    <w:rsid w:val="00347AF3"/>
    <w:rsid w:val="00350747"/>
    <w:rsid w:val="00352500"/>
    <w:rsid w:val="00352590"/>
    <w:rsid w:val="00352622"/>
    <w:rsid w:val="0035271C"/>
    <w:rsid w:val="00355186"/>
    <w:rsid w:val="003551C2"/>
    <w:rsid w:val="0035521B"/>
    <w:rsid w:val="00357380"/>
    <w:rsid w:val="00357806"/>
    <w:rsid w:val="00357B0D"/>
    <w:rsid w:val="003602D9"/>
    <w:rsid w:val="003604CE"/>
    <w:rsid w:val="00360910"/>
    <w:rsid w:val="00360BFB"/>
    <w:rsid w:val="003637F4"/>
    <w:rsid w:val="00364358"/>
    <w:rsid w:val="00364876"/>
    <w:rsid w:val="00365442"/>
    <w:rsid w:val="00365D0C"/>
    <w:rsid w:val="00367E0B"/>
    <w:rsid w:val="00367F23"/>
    <w:rsid w:val="003709EE"/>
    <w:rsid w:val="00370E47"/>
    <w:rsid w:val="00370F25"/>
    <w:rsid w:val="00371CEB"/>
    <w:rsid w:val="00372602"/>
    <w:rsid w:val="00372870"/>
    <w:rsid w:val="00372B93"/>
    <w:rsid w:val="00372BB6"/>
    <w:rsid w:val="003742AC"/>
    <w:rsid w:val="0037443F"/>
    <w:rsid w:val="00374ABA"/>
    <w:rsid w:val="00374E56"/>
    <w:rsid w:val="0037543E"/>
    <w:rsid w:val="003754F2"/>
    <w:rsid w:val="0037550B"/>
    <w:rsid w:val="0037574A"/>
    <w:rsid w:val="00375FB6"/>
    <w:rsid w:val="00375FD6"/>
    <w:rsid w:val="00377CE1"/>
    <w:rsid w:val="00380B48"/>
    <w:rsid w:val="00381D46"/>
    <w:rsid w:val="00381EAE"/>
    <w:rsid w:val="00383E53"/>
    <w:rsid w:val="00383F4A"/>
    <w:rsid w:val="00384E51"/>
    <w:rsid w:val="003855C7"/>
    <w:rsid w:val="00385BF0"/>
    <w:rsid w:val="00385C15"/>
    <w:rsid w:val="0038732B"/>
    <w:rsid w:val="0039094C"/>
    <w:rsid w:val="00392525"/>
    <w:rsid w:val="00392526"/>
    <w:rsid w:val="003934A6"/>
    <w:rsid w:val="003939FF"/>
    <w:rsid w:val="003945EF"/>
    <w:rsid w:val="003949D9"/>
    <w:rsid w:val="0039612C"/>
    <w:rsid w:val="00397077"/>
    <w:rsid w:val="00397553"/>
    <w:rsid w:val="00397812"/>
    <w:rsid w:val="003A1584"/>
    <w:rsid w:val="003A20E1"/>
    <w:rsid w:val="003A21E2"/>
    <w:rsid w:val="003A2223"/>
    <w:rsid w:val="003A22B4"/>
    <w:rsid w:val="003A281B"/>
    <w:rsid w:val="003A2A0F"/>
    <w:rsid w:val="003A2B9F"/>
    <w:rsid w:val="003A3524"/>
    <w:rsid w:val="003A45A1"/>
    <w:rsid w:val="003A468E"/>
    <w:rsid w:val="003A4929"/>
    <w:rsid w:val="003A4D56"/>
    <w:rsid w:val="003A53D0"/>
    <w:rsid w:val="003A5493"/>
    <w:rsid w:val="003A5B0A"/>
    <w:rsid w:val="003A6BAC"/>
    <w:rsid w:val="003A6C6F"/>
    <w:rsid w:val="003A70A4"/>
    <w:rsid w:val="003A7EF3"/>
    <w:rsid w:val="003B060E"/>
    <w:rsid w:val="003B0BE3"/>
    <w:rsid w:val="003B159C"/>
    <w:rsid w:val="003B17FA"/>
    <w:rsid w:val="003B1CBE"/>
    <w:rsid w:val="003B23DC"/>
    <w:rsid w:val="003B369F"/>
    <w:rsid w:val="003B36A3"/>
    <w:rsid w:val="003B48DC"/>
    <w:rsid w:val="003B4CB5"/>
    <w:rsid w:val="003B561D"/>
    <w:rsid w:val="003B57F1"/>
    <w:rsid w:val="003B585C"/>
    <w:rsid w:val="003B64BB"/>
    <w:rsid w:val="003B6674"/>
    <w:rsid w:val="003B77C7"/>
    <w:rsid w:val="003B7FE5"/>
    <w:rsid w:val="003C11C8"/>
    <w:rsid w:val="003C20D7"/>
    <w:rsid w:val="003C24BF"/>
    <w:rsid w:val="003C2702"/>
    <w:rsid w:val="003C4777"/>
    <w:rsid w:val="003C4B5F"/>
    <w:rsid w:val="003C6B30"/>
    <w:rsid w:val="003C7148"/>
    <w:rsid w:val="003C7806"/>
    <w:rsid w:val="003C7BDA"/>
    <w:rsid w:val="003D0B64"/>
    <w:rsid w:val="003D109F"/>
    <w:rsid w:val="003D11BE"/>
    <w:rsid w:val="003D2202"/>
    <w:rsid w:val="003D2478"/>
    <w:rsid w:val="003D2F06"/>
    <w:rsid w:val="003D325B"/>
    <w:rsid w:val="003D3C45"/>
    <w:rsid w:val="003D4C48"/>
    <w:rsid w:val="003D5531"/>
    <w:rsid w:val="003D55F4"/>
    <w:rsid w:val="003D5B1F"/>
    <w:rsid w:val="003D65BC"/>
    <w:rsid w:val="003D6969"/>
    <w:rsid w:val="003D6CFC"/>
    <w:rsid w:val="003D7098"/>
    <w:rsid w:val="003D737A"/>
    <w:rsid w:val="003D7CD1"/>
    <w:rsid w:val="003E092C"/>
    <w:rsid w:val="003E0B74"/>
    <w:rsid w:val="003E15FA"/>
    <w:rsid w:val="003E1A5E"/>
    <w:rsid w:val="003E550A"/>
    <w:rsid w:val="003E55E4"/>
    <w:rsid w:val="003E56B8"/>
    <w:rsid w:val="003E574B"/>
    <w:rsid w:val="003E6476"/>
    <w:rsid w:val="003E660B"/>
    <w:rsid w:val="003E67A6"/>
    <w:rsid w:val="003E67E8"/>
    <w:rsid w:val="003E74E3"/>
    <w:rsid w:val="003F05C7"/>
    <w:rsid w:val="003F212A"/>
    <w:rsid w:val="003F26FB"/>
    <w:rsid w:val="003F2CD4"/>
    <w:rsid w:val="003F2D87"/>
    <w:rsid w:val="003F3F3E"/>
    <w:rsid w:val="003F4A9C"/>
    <w:rsid w:val="003F56C4"/>
    <w:rsid w:val="003F5872"/>
    <w:rsid w:val="003F6563"/>
    <w:rsid w:val="003F67E3"/>
    <w:rsid w:val="003F6BBE"/>
    <w:rsid w:val="004000E8"/>
    <w:rsid w:val="00400F99"/>
    <w:rsid w:val="0040163F"/>
    <w:rsid w:val="0040218F"/>
    <w:rsid w:val="00402509"/>
    <w:rsid w:val="00402888"/>
    <w:rsid w:val="00402E2B"/>
    <w:rsid w:val="00403587"/>
    <w:rsid w:val="00404DAD"/>
    <w:rsid w:val="0040512B"/>
    <w:rsid w:val="0040563E"/>
    <w:rsid w:val="004058FC"/>
    <w:rsid w:val="00405CA5"/>
    <w:rsid w:val="00407CD3"/>
    <w:rsid w:val="00410134"/>
    <w:rsid w:val="00410438"/>
    <w:rsid w:val="00410B72"/>
    <w:rsid w:val="00410D1F"/>
    <w:rsid w:val="00410F18"/>
    <w:rsid w:val="0041263E"/>
    <w:rsid w:val="00413AAC"/>
    <w:rsid w:val="00413E92"/>
    <w:rsid w:val="00414206"/>
    <w:rsid w:val="00414928"/>
    <w:rsid w:val="004154BE"/>
    <w:rsid w:val="004160F1"/>
    <w:rsid w:val="00416169"/>
    <w:rsid w:val="00416222"/>
    <w:rsid w:val="0041663C"/>
    <w:rsid w:val="0041705F"/>
    <w:rsid w:val="00417C8C"/>
    <w:rsid w:val="00420776"/>
    <w:rsid w:val="00420CED"/>
    <w:rsid w:val="004210A3"/>
    <w:rsid w:val="00421105"/>
    <w:rsid w:val="004229D9"/>
    <w:rsid w:val="00422AA4"/>
    <w:rsid w:val="004242F4"/>
    <w:rsid w:val="00424B80"/>
    <w:rsid w:val="00424E33"/>
    <w:rsid w:val="004254A8"/>
    <w:rsid w:val="00425917"/>
    <w:rsid w:val="004259B4"/>
    <w:rsid w:val="00425FD9"/>
    <w:rsid w:val="00426EA4"/>
    <w:rsid w:val="00427248"/>
    <w:rsid w:val="00427AC8"/>
    <w:rsid w:val="00432D9B"/>
    <w:rsid w:val="004341B4"/>
    <w:rsid w:val="00434B6E"/>
    <w:rsid w:val="004356D5"/>
    <w:rsid w:val="004361AE"/>
    <w:rsid w:val="00437447"/>
    <w:rsid w:val="00437A8F"/>
    <w:rsid w:val="004404B0"/>
    <w:rsid w:val="0044121E"/>
    <w:rsid w:val="00441A92"/>
    <w:rsid w:val="004431DC"/>
    <w:rsid w:val="00444598"/>
    <w:rsid w:val="004447E2"/>
    <w:rsid w:val="00444F56"/>
    <w:rsid w:val="00446488"/>
    <w:rsid w:val="00446958"/>
    <w:rsid w:val="00446DD6"/>
    <w:rsid w:val="00447258"/>
    <w:rsid w:val="0045020A"/>
    <w:rsid w:val="0045028F"/>
    <w:rsid w:val="00450D69"/>
    <w:rsid w:val="004517AA"/>
    <w:rsid w:val="00451AB0"/>
    <w:rsid w:val="00452832"/>
    <w:rsid w:val="00452CAC"/>
    <w:rsid w:val="00452FE4"/>
    <w:rsid w:val="004538B7"/>
    <w:rsid w:val="00453A17"/>
    <w:rsid w:val="00453F32"/>
    <w:rsid w:val="004543F5"/>
    <w:rsid w:val="004552EF"/>
    <w:rsid w:val="00456A9C"/>
    <w:rsid w:val="00457565"/>
    <w:rsid w:val="00457603"/>
    <w:rsid w:val="00457944"/>
    <w:rsid w:val="0045799C"/>
    <w:rsid w:val="00457B71"/>
    <w:rsid w:val="00457FF1"/>
    <w:rsid w:val="00460877"/>
    <w:rsid w:val="00461D09"/>
    <w:rsid w:val="00462A14"/>
    <w:rsid w:val="00462FAE"/>
    <w:rsid w:val="004636AB"/>
    <w:rsid w:val="00463EF0"/>
    <w:rsid w:val="00464A64"/>
    <w:rsid w:val="004663ED"/>
    <w:rsid w:val="004669E2"/>
    <w:rsid w:val="004677FC"/>
    <w:rsid w:val="004703AF"/>
    <w:rsid w:val="00470C31"/>
    <w:rsid w:val="00470EE0"/>
    <w:rsid w:val="00471076"/>
    <w:rsid w:val="00471DE0"/>
    <w:rsid w:val="00472B66"/>
    <w:rsid w:val="004734D0"/>
    <w:rsid w:val="00473678"/>
    <w:rsid w:val="00474A62"/>
    <w:rsid w:val="00474E7C"/>
    <w:rsid w:val="00475021"/>
    <w:rsid w:val="00475106"/>
    <w:rsid w:val="0047556B"/>
    <w:rsid w:val="00475975"/>
    <w:rsid w:val="00476001"/>
    <w:rsid w:val="00476050"/>
    <w:rsid w:val="00477768"/>
    <w:rsid w:val="00480243"/>
    <w:rsid w:val="00480A0B"/>
    <w:rsid w:val="004815B0"/>
    <w:rsid w:val="00481C73"/>
    <w:rsid w:val="00481C95"/>
    <w:rsid w:val="0048315A"/>
    <w:rsid w:val="00484314"/>
    <w:rsid w:val="00484A1D"/>
    <w:rsid w:val="00484D9C"/>
    <w:rsid w:val="0048542E"/>
    <w:rsid w:val="00485E45"/>
    <w:rsid w:val="00486177"/>
    <w:rsid w:val="0048711B"/>
    <w:rsid w:val="0049015F"/>
    <w:rsid w:val="00492BC5"/>
    <w:rsid w:val="00492E38"/>
    <w:rsid w:val="0049506A"/>
    <w:rsid w:val="00495AAC"/>
    <w:rsid w:val="004964B5"/>
    <w:rsid w:val="004964F1"/>
    <w:rsid w:val="00497023"/>
    <w:rsid w:val="00497919"/>
    <w:rsid w:val="00497B4D"/>
    <w:rsid w:val="00497D14"/>
    <w:rsid w:val="004A0C37"/>
    <w:rsid w:val="004A0F8E"/>
    <w:rsid w:val="004A16BC"/>
    <w:rsid w:val="004A1743"/>
    <w:rsid w:val="004A1FA1"/>
    <w:rsid w:val="004A2B94"/>
    <w:rsid w:val="004A2F23"/>
    <w:rsid w:val="004A36DE"/>
    <w:rsid w:val="004A417B"/>
    <w:rsid w:val="004A4F3D"/>
    <w:rsid w:val="004A65FF"/>
    <w:rsid w:val="004A793F"/>
    <w:rsid w:val="004A7B6B"/>
    <w:rsid w:val="004A7BB9"/>
    <w:rsid w:val="004B05D8"/>
    <w:rsid w:val="004B20DD"/>
    <w:rsid w:val="004B2FF9"/>
    <w:rsid w:val="004B3173"/>
    <w:rsid w:val="004B322A"/>
    <w:rsid w:val="004B42F6"/>
    <w:rsid w:val="004B48E6"/>
    <w:rsid w:val="004B4D48"/>
    <w:rsid w:val="004B5748"/>
    <w:rsid w:val="004B6058"/>
    <w:rsid w:val="004B6F6A"/>
    <w:rsid w:val="004B79D1"/>
    <w:rsid w:val="004B7C0C"/>
    <w:rsid w:val="004C0CDC"/>
    <w:rsid w:val="004C13B6"/>
    <w:rsid w:val="004C21B3"/>
    <w:rsid w:val="004C2A16"/>
    <w:rsid w:val="004C2A83"/>
    <w:rsid w:val="004C2B7C"/>
    <w:rsid w:val="004C3898"/>
    <w:rsid w:val="004C3CA7"/>
    <w:rsid w:val="004C5026"/>
    <w:rsid w:val="004C5CF1"/>
    <w:rsid w:val="004C6B0C"/>
    <w:rsid w:val="004C6F5F"/>
    <w:rsid w:val="004D08E5"/>
    <w:rsid w:val="004D19E1"/>
    <w:rsid w:val="004D1CD1"/>
    <w:rsid w:val="004D2288"/>
    <w:rsid w:val="004D2DC7"/>
    <w:rsid w:val="004D36B1"/>
    <w:rsid w:val="004D3B23"/>
    <w:rsid w:val="004D4511"/>
    <w:rsid w:val="004D64D6"/>
    <w:rsid w:val="004D6725"/>
    <w:rsid w:val="004D6833"/>
    <w:rsid w:val="004D6E4F"/>
    <w:rsid w:val="004D7184"/>
    <w:rsid w:val="004D7EBD"/>
    <w:rsid w:val="004E1592"/>
    <w:rsid w:val="004E1D09"/>
    <w:rsid w:val="004E2110"/>
    <w:rsid w:val="004E2680"/>
    <w:rsid w:val="004E28F9"/>
    <w:rsid w:val="004E3429"/>
    <w:rsid w:val="004E372F"/>
    <w:rsid w:val="004E42C9"/>
    <w:rsid w:val="004E462E"/>
    <w:rsid w:val="004E5622"/>
    <w:rsid w:val="004E56DC"/>
    <w:rsid w:val="004E59A7"/>
    <w:rsid w:val="004E5D8D"/>
    <w:rsid w:val="004E6ECA"/>
    <w:rsid w:val="004E7024"/>
    <w:rsid w:val="004E76F4"/>
    <w:rsid w:val="004E77CA"/>
    <w:rsid w:val="004E7FD0"/>
    <w:rsid w:val="004F0B4E"/>
    <w:rsid w:val="004F0B6C"/>
    <w:rsid w:val="004F128C"/>
    <w:rsid w:val="004F2078"/>
    <w:rsid w:val="004F24D8"/>
    <w:rsid w:val="004F3B05"/>
    <w:rsid w:val="004F4978"/>
    <w:rsid w:val="004F4DA3"/>
    <w:rsid w:val="004F5941"/>
    <w:rsid w:val="004F5B6C"/>
    <w:rsid w:val="004F5F37"/>
    <w:rsid w:val="004F70CE"/>
    <w:rsid w:val="004F7CF3"/>
    <w:rsid w:val="00500186"/>
    <w:rsid w:val="005029D7"/>
    <w:rsid w:val="005040F6"/>
    <w:rsid w:val="00506557"/>
    <w:rsid w:val="00506680"/>
    <w:rsid w:val="0050677A"/>
    <w:rsid w:val="00506FB2"/>
    <w:rsid w:val="00507838"/>
    <w:rsid w:val="00507A38"/>
    <w:rsid w:val="00507AC0"/>
    <w:rsid w:val="005108D8"/>
    <w:rsid w:val="00510F51"/>
    <w:rsid w:val="005116F9"/>
    <w:rsid w:val="00511946"/>
    <w:rsid w:val="00513404"/>
    <w:rsid w:val="00514158"/>
    <w:rsid w:val="005153A7"/>
    <w:rsid w:val="005164E1"/>
    <w:rsid w:val="00516BAB"/>
    <w:rsid w:val="00516D9F"/>
    <w:rsid w:val="005219CF"/>
    <w:rsid w:val="00523B04"/>
    <w:rsid w:val="0052454F"/>
    <w:rsid w:val="00524BCC"/>
    <w:rsid w:val="00525EBA"/>
    <w:rsid w:val="005276D9"/>
    <w:rsid w:val="00527A73"/>
    <w:rsid w:val="00530E30"/>
    <w:rsid w:val="00532310"/>
    <w:rsid w:val="00532928"/>
    <w:rsid w:val="0053334B"/>
    <w:rsid w:val="00533444"/>
    <w:rsid w:val="00533CA4"/>
    <w:rsid w:val="00534B59"/>
    <w:rsid w:val="00535DA6"/>
    <w:rsid w:val="005360F9"/>
    <w:rsid w:val="00536759"/>
    <w:rsid w:val="00536E0C"/>
    <w:rsid w:val="00537897"/>
    <w:rsid w:val="005379CC"/>
    <w:rsid w:val="00537C62"/>
    <w:rsid w:val="00537D36"/>
    <w:rsid w:val="00540C7A"/>
    <w:rsid w:val="00541037"/>
    <w:rsid w:val="00541417"/>
    <w:rsid w:val="0054141C"/>
    <w:rsid w:val="00541DD1"/>
    <w:rsid w:val="00542064"/>
    <w:rsid w:val="005423F3"/>
    <w:rsid w:val="0054241E"/>
    <w:rsid w:val="005439E5"/>
    <w:rsid w:val="00545B41"/>
    <w:rsid w:val="00546177"/>
    <w:rsid w:val="00546970"/>
    <w:rsid w:val="00550115"/>
    <w:rsid w:val="00550919"/>
    <w:rsid w:val="005521A8"/>
    <w:rsid w:val="0055306A"/>
    <w:rsid w:val="005540BD"/>
    <w:rsid w:val="00554E19"/>
    <w:rsid w:val="005554C8"/>
    <w:rsid w:val="00555A3F"/>
    <w:rsid w:val="005565C7"/>
    <w:rsid w:val="00556B89"/>
    <w:rsid w:val="005578E4"/>
    <w:rsid w:val="00557AA9"/>
    <w:rsid w:val="00560227"/>
    <w:rsid w:val="0056121F"/>
    <w:rsid w:val="00562A90"/>
    <w:rsid w:val="00562AD2"/>
    <w:rsid w:val="00563DC1"/>
    <w:rsid w:val="0056468C"/>
    <w:rsid w:val="00565FFB"/>
    <w:rsid w:val="0056603E"/>
    <w:rsid w:val="005662D7"/>
    <w:rsid w:val="00566781"/>
    <w:rsid w:val="0056725C"/>
    <w:rsid w:val="0056739E"/>
    <w:rsid w:val="005676DB"/>
    <w:rsid w:val="00567FF7"/>
    <w:rsid w:val="005701C5"/>
    <w:rsid w:val="00571A7D"/>
    <w:rsid w:val="00572505"/>
    <w:rsid w:val="00574A3F"/>
    <w:rsid w:val="00574C06"/>
    <w:rsid w:val="00575853"/>
    <w:rsid w:val="005759E1"/>
    <w:rsid w:val="00576CCF"/>
    <w:rsid w:val="00577AB7"/>
    <w:rsid w:val="00581273"/>
    <w:rsid w:val="00582809"/>
    <w:rsid w:val="00582E92"/>
    <w:rsid w:val="00583709"/>
    <w:rsid w:val="005865A6"/>
    <w:rsid w:val="00586A19"/>
    <w:rsid w:val="0058798C"/>
    <w:rsid w:val="005900FA"/>
    <w:rsid w:val="00590836"/>
    <w:rsid w:val="005915FD"/>
    <w:rsid w:val="00591784"/>
    <w:rsid w:val="0059245A"/>
    <w:rsid w:val="00592655"/>
    <w:rsid w:val="005935A4"/>
    <w:rsid w:val="0059431D"/>
    <w:rsid w:val="005943BB"/>
    <w:rsid w:val="005948C2"/>
    <w:rsid w:val="00595DCA"/>
    <w:rsid w:val="00596704"/>
    <w:rsid w:val="0059779B"/>
    <w:rsid w:val="00597DC1"/>
    <w:rsid w:val="005A05CB"/>
    <w:rsid w:val="005A09A6"/>
    <w:rsid w:val="005A0F36"/>
    <w:rsid w:val="005A1402"/>
    <w:rsid w:val="005A209A"/>
    <w:rsid w:val="005A274C"/>
    <w:rsid w:val="005A435D"/>
    <w:rsid w:val="005A5654"/>
    <w:rsid w:val="005A662D"/>
    <w:rsid w:val="005A76DB"/>
    <w:rsid w:val="005B0BF6"/>
    <w:rsid w:val="005B0C49"/>
    <w:rsid w:val="005B1188"/>
    <w:rsid w:val="005B1409"/>
    <w:rsid w:val="005B3366"/>
    <w:rsid w:val="005B35D7"/>
    <w:rsid w:val="005B392A"/>
    <w:rsid w:val="005B3AA3"/>
    <w:rsid w:val="005B3C09"/>
    <w:rsid w:val="005B3CB2"/>
    <w:rsid w:val="005B4102"/>
    <w:rsid w:val="005B4798"/>
    <w:rsid w:val="005B4811"/>
    <w:rsid w:val="005B4C9E"/>
    <w:rsid w:val="005B6643"/>
    <w:rsid w:val="005B6771"/>
    <w:rsid w:val="005B6F09"/>
    <w:rsid w:val="005B6F83"/>
    <w:rsid w:val="005B71EB"/>
    <w:rsid w:val="005B7333"/>
    <w:rsid w:val="005B776F"/>
    <w:rsid w:val="005B787C"/>
    <w:rsid w:val="005B7AB7"/>
    <w:rsid w:val="005B7C0D"/>
    <w:rsid w:val="005C024A"/>
    <w:rsid w:val="005C0275"/>
    <w:rsid w:val="005C07C8"/>
    <w:rsid w:val="005C162D"/>
    <w:rsid w:val="005C1AB5"/>
    <w:rsid w:val="005C2CBB"/>
    <w:rsid w:val="005C316C"/>
    <w:rsid w:val="005C425F"/>
    <w:rsid w:val="005C447D"/>
    <w:rsid w:val="005C4F3E"/>
    <w:rsid w:val="005C52F9"/>
    <w:rsid w:val="005C53F4"/>
    <w:rsid w:val="005C5B95"/>
    <w:rsid w:val="005C74FB"/>
    <w:rsid w:val="005C75CC"/>
    <w:rsid w:val="005C7F0D"/>
    <w:rsid w:val="005D0F19"/>
    <w:rsid w:val="005D1151"/>
    <w:rsid w:val="005D1602"/>
    <w:rsid w:val="005D18F6"/>
    <w:rsid w:val="005D25D1"/>
    <w:rsid w:val="005D3320"/>
    <w:rsid w:val="005D3AAF"/>
    <w:rsid w:val="005D3C19"/>
    <w:rsid w:val="005D3C5E"/>
    <w:rsid w:val="005D449C"/>
    <w:rsid w:val="005D4FDF"/>
    <w:rsid w:val="005D536C"/>
    <w:rsid w:val="005D5FB2"/>
    <w:rsid w:val="005D63A4"/>
    <w:rsid w:val="005D6A33"/>
    <w:rsid w:val="005D6C2C"/>
    <w:rsid w:val="005D6DEB"/>
    <w:rsid w:val="005D702B"/>
    <w:rsid w:val="005D7862"/>
    <w:rsid w:val="005D7D65"/>
    <w:rsid w:val="005E03BB"/>
    <w:rsid w:val="005E1E69"/>
    <w:rsid w:val="005E2841"/>
    <w:rsid w:val="005E30CD"/>
    <w:rsid w:val="005E385F"/>
    <w:rsid w:val="005E5632"/>
    <w:rsid w:val="005E5888"/>
    <w:rsid w:val="005E5B81"/>
    <w:rsid w:val="005E5E61"/>
    <w:rsid w:val="005E64EE"/>
    <w:rsid w:val="005E6592"/>
    <w:rsid w:val="005E68DF"/>
    <w:rsid w:val="005E7C60"/>
    <w:rsid w:val="005F046C"/>
    <w:rsid w:val="005F0EF5"/>
    <w:rsid w:val="005F1345"/>
    <w:rsid w:val="005F1537"/>
    <w:rsid w:val="005F2727"/>
    <w:rsid w:val="005F2A2A"/>
    <w:rsid w:val="005F2CB1"/>
    <w:rsid w:val="005F3025"/>
    <w:rsid w:val="005F34A0"/>
    <w:rsid w:val="005F49A5"/>
    <w:rsid w:val="005F4DFD"/>
    <w:rsid w:val="005F54E8"/>
    <w:rsid w:val="005F5E44"/>
    <w:rsid w:val="005F618C"/>
    <w:rsid w:val="005F6E79"/>
    <w:rsid w:val="005F70BD"/>
    <w:rsid w:val="005F78B5"/>
    <w:rsid w:val="005F7A01"/>
    <w:rsid w:val="00600D5A"/>
    <w:rsid w:val="006011D2"/>
    <w:rsid w:val="00601A6C"/>
    <w:rsid w:val="006025DD"/>
    <w:rsid w:val="0060283C"/>
    <w:rsid w:val="00604F14"/>
    <w:rsid w:val="00605064"/>
    <w:rsid w:val="00605443"/>
    <w:rsid w:val="00605E5D"/>
    <w:rsid w:val="006061D6"/>
    <w:rsid w:val="006065FE"/>
    <w:rsid w:val="006100F7"/>
    <w:rsid w:val="00611B83"/>
    <w:rsid w:val="0061206A"/>
    <w:rsid w:val="00613257"/>
    <w:rsid w:val="00613C2C"/>
    <w:rsid w:val="00614896"/>
    <w:rsid w:val="00614E33"/>
    <w:rsid w:val="006151F1"/>
    <w:rsid w:val="00617539"/>
    <w:rsid w:val="006177F9"/>
    <w:rsid w:val="00617B03"/>
    <w:rsid w:val="00620A71"/>
    <w:rsid w:val="00620BF2"/>
    <w:rsid w:val="00620D80"/>
    <w:rsid w:val="00621171"/>
    <w:rsid w:val="0062308C"/>
    <w:rsid w:val="006234A6"/>
    <w:rsid w:val="00625343"/>
    <w:rsid w:val="0062668A"/>
    <w:rsid w:val="00627E20"/>
    <w:rsid w:val="00627E72"/>
    <w:rsid w:val="00630001"/>
    <w:rsid w:val="006305A1"/>
    <w:rsid w:val="006311B3"/>
    <w:rsid w:val="0063155B"/>
    <w:rsid w:val="00632583"/>
    <w:rsid w:val="0063284C"/>
    <w:rsid w:val="00633408"/>
    <w:rsid w:val="00633864"/>
    <w:rsid w:val="00635542"/>
    <w:rsid w:val="00635FED"/>
    <w:rsid w:val="00636398"/>
    <w:rsid w:val="006368D3"/>
    <w:rsid w:val="0063768A"/>
    <w:rsid w:val="006377EC"/>
    <w:rsid w:val="00640DF7"/>
    <w:rsid w:val="0064151F"/>
    <w:rsid w:val="00641533"/>
    <w:rsid w:val="00641807"/>
    <w:rsid w:val="00641819"/>
    <w:rsid w:val="006418B3"/>
    <w:rsid w:val="0064208D"/>
    <w:rsid w:val="00643475"/>
    <w:rsid w:val="0064396A"/>
    <w:rsid w:val="00644709"/>
    <w:rsid w:val="0064520E"/>
    <w:rsid w:val="00645D83"/>
    <w:rsid w:val="0064624E"/>
    <w:rsid w:val="00647389"/>
    <w:rsid w:val="006500B6"/>
    <w:rsid w:val="00650AB9"/>
    <w:rsid w:val="00650C6C"/>
    <w:rsid w:val="006525E6"/>
    <w:rsid w:val="00653465"/>
    <w:rsid w:val="00654DC4"/>
    <w:rsid w:val="00655733"/>
    <w:rsid w:val="006559FB"/>
    <w:rsid w:val="00655ACD"/>
    <w:rsid w:val="00656A92"/>
    <w:rsid w:val="00656DDE"/>
    <w:rsid w:val="006579AC"/>
    <w:rsid w:val="0066011D"/>
    <w:rsid w:val="006607C0"/>
    <w:rsid w:val="006613A6"/>
    <w:rsid w:val="006619C4"/>
    <w:rsid w:val="006619EA"/>
    <w:rsid w:val="006627A2"/>
    <w:rsid w:val="00663034"/>
    <w:rsid w:val="006630D8"/>
    <w:rsid w:val="006634E6"/>
    <w:rsid w:val="00663739"/>
    <w:rsid w:val="00663D80"/>
    <w:rsid w:val="00664905"/>
    <w:rsid w:val="006655EE"/>
    <w:rsid w:val="006660C6"/>
    <w:rsid w:val="0066635C"/>
    <w:rsid w:val="00666752"/>
    <w:rsid w:val="00666FBA"/>
    <w:rsid w:val="006679E2"/>
    <w:rsid w:val="00667EE7"/>
    <w:rsid w:val="00670922"/>
    <w:rsid w:val="00670BE1"/>
    <w:rsid w:val="006714F5"/>
    <w:rsid w:val="006717E1"/>
    <w:rsid w:val="0067218F"/>
    <w:rsid w:val="00672918"/>
    <w:rsid w:val="00672C08"/>
    <w:rsid w:val="006737FF"/>
    <w:rsid w:val="006741F2"/>
    <w:rsid w:val="006743A0"/>
    <w:rsid w:val="00674596"/>
    <w:rsid w:val="00674CC3"/>
    <w:rsid w:val="006752C2"/>
    <w:rsid w:val="00675A64"/>
    <w:rsid w:val="00675C72"/>
    <w:rsid w:val="00675E51"/>
    <w:rsid w:val="00676281"/>
    <w:rsid w:val="00676697"/>
    <w:rsid w:val="006771F9"/>
    <w:rsid w:val="00677615"/>
    <w:rsid w:val="006776D7"/>
    <w:rsid w:val="00677C93"/>
    <w:rsid w:val="00680C41"/>
    <w:rsid w:val="00681003"/>
    <w:rsid w:val="006817C9"/>
    <w:rsid w:val="00681A93"/>
    <w:rsid w:val="00682491"/>
    <w:rsid w:val="006824BA"/>
    <w:rsid w:val="006825CF"/>
    <w:rsid w:val="0068330F"/>
    <w:rsid w:val="00683ECE"/>
    <w:rsid w:val="00684EB6"/>
    <w:rsid w:val="006850EA"/>
    <w:rsid w:val="00685A87"/>
    <w:rsid w:val="006879D8"/>
    <w:rsid w:val="00691740"/>
    <w:rsid w:val="0069247C"/>
    <w:rsid w:val="00693635"/>
    <w:rsid w:val="006938A1"/>
    <w:rsid w:val="0069488C"/>
    <w:rsid w:val="006955D2"/>
    <w:rsid w:val="00695FC2"/>
    <w:rsid w:val="00696949"/>
    <w:rsid w:val="00696A4F"/>
    <w:rsid w:val="00697052"/>
    <w:rsid w:val="00697181"/>
    <w:rsid w:val="006A033A"/>
    <w:rsid w:val="006A0FBE"/>
    <w:rsid w:val="006A1672"/>
    <w:rsid w:val="006A20C2"/>
    <w:rsid w:val="006A3B2F"/>
    <w:rsid w:val="006A3D9A"/>
    <w:rsid w:val="006A4215"/>
    <w:rsid w:val="006A46FB"/>
    <w:rsid w:val="006A5A3D"/>
    <w:rsid w:val="006A5ADC"/>
    <w:rsid w:val="006A5C70"/>
    <w:rsid w:val="006A5E28"/>
    <w:rsid w:val="006A62ED"/>
    <w:rsid w:val="006A697B"/>
    <w:rsid w:val="006A71E2"/>
    <w:rsid w:val="006A7AFF"/>
    <w:rsid w:val="006A7CC9"/>
    <w:rsid w:val="006B0056"/>
    <w:rsid w:val="006B1816"/>
    <w:rsid w:val="006B1C79"/>
    <w:rsid w:val="006B2099"/>
    <w:rsid w:val="006B21FA"/>
    <w:rsid w:val="006B2369"/>
    <w:rsid w:val="006B23FA"/>
    <w:rsid w:val="006B37F7"/>
    <w:rsid w:val="006B4589"/>
    <w:rsid w:val="006B50CF"/>
    <w:rsid w:val="006B5951"/>
    <w:rsid w:val="006B6948"/>
    <w:rsid w:val="006B7A24"/>
    <w:rsid w:val="006C03B8"/>
    <w:rsid w:val="006C073A"/>
    <w:rsid w:val="006C11F3"/>
    <w:rsid w:val="006C1C20"/>
    <w:rsid w:val="006C1C7B"/>
    <w:rsid w:val="006C310F"/>
    <w:rsid w:val="006C457B"/>
    <w:rsid w:val="006C5EC9"/>
    <w:rsid w:val="006C6059"/>
    <w:rsid w:val="006C6C7D"/>
    <w:rsid w:val="006C6D7C"/>
    <w:rsid w:val="006C7522"/>
    <w:rsid w:val="006D1612"/>
    <w:rsid w:val="006D17DE"/>
    <w:rsid w:val="006D1B14"/>
    <w:rsid w:val="006D30C0"/>
    <w:rsid w:val="006D320E"/>
    <w:rsid w:val="006D4DF9"/>
    <w:rsid w:val="006D518B"/>
    <w:rsid w:val="006D6C8F"/>
    <w:rsid w:val="006D6F08"/>
    <w:rsid w:val="006D72A3"/>
    <w:rsid w:val="006D7953"/>
    <w:rsid w:val="006D7D21"/>
    <w:rsid w:val="006D7EC9"/>
    <w:rsid w:val="006E062C"/>
    <w:rsid w:val="006E08DF"/>
    <w:rsid w:val="006E1A25"/>
    <w:rsid w:val="006E1C82"/>
    <w:rsid w:val="006E28B7"/>
    <w:rsid w:val="006E2A9B"/>
    <w:rsid w:val="006E2B43"/>
    <w:rsid w:val="006E2BE4"/>
    <w:rsid w:val="006E3310"/>
    <w:rsid w:val="006E36A1"/>
    <w:rsid w:val="006E3B47"/>
    <w:rsid w:val="006E40EC"/>
    <w:rsid w:val="006E43EA"/>
    <w:rsid w:val="006E4E39"/>
    <w:rsid w:val="006E565E"/>
    <w:rsid w:val="006E5C09"/>
    <w:rsid w:val="006E673D"/>
    <w:rsid w:val="006E6C6C"/>
    <w:rsid w:val="006E7D3B"/>
    <w:rsid w:val="006F1996"/>
    <w:rsid w:val="006F1B70"/>
    <w:rsid w:val="006F29B1"/>
    <w:rsid w:val="006F341D"/>
    <w:rsid w:val="006F3CDE"/>
    <w:rsid w:val="006F3E16"/>
    <w:rsid w:val="006F4231"/>
    <w:rsid w:val="006F4486"/>
    <w:rsid w:val="006F58D4"/>
    <w:rsid w:val="006F63A1"/>
    <w:rsid w:val="006F6582"/>
    <w:rsid w:val="006F6912"/>
    <w:rsid w:val="006F7847"/>
    <w:rsid w:val="00701AB6"/>
    <w:rsid w:val="00701D47"/>
    <w:rsid w:val="00701D4A"/>
    <w:rsid w:val="007031AE"/>
    <w:rsid w:val="0070346E"/>
    <w:rsid w:val="0070497B"/>
    <w:rsid w:val="00704EDB"/>
    <w:rsid w:val="00705206"/>
    <w:rsid w:val="007052D8"/>
    <w:rsid w:val="007054BC"/>
    <w:rsid w:val="00705CB0"/>
    <w:rsid w:val="00706101"/>
    <w:rsid w:val="00706132"/>
    <w:rsid w:val="00707072"/>
    <w:rsid w:val="00707D61"/>
    <w:rsid w:val="00707DA1"/>
    <w:rsid w:val="007117E3"/>
    <w:rsid w:val="00712287"/>
    <w:rsid w:val="00712772"/>
    <w:rsid w:val="0071400C"/>
    <w:rsid w:val="007140E5"/>
    <w:rsid w:val="007148D3"/>
    <w:rsid w:val="0071558C"/>
    <w:rsid w:val="00715B9A"/>
    <w:rsid w:val="00715EB1"/>
    <w:rsid w:val="007171CB"/>
    <w:rsid w:val="00717FCD"/>
    <w:rsid w:val="00720A4F"/>
    <w:rsid w:val="0072233B"/>
    <w:rsid w:val="007228D1"/>
    <w:rsid w:val="0072300C"/>
    <w:rsid w:val="007234F1"/>
    <w:rsid w:val="00725422"/>
    <w:rsid w:val="00725677"/>
    <w:rsid w:val="007256EC"/>
    <w:rsid w:val="007257D0"/>
    <w:rsid w:val="0072581A"/>
    <w:rsid w:val="00725822"/>
    <w:rsid w:val="0072603B"/>
    <w:rsid w:val="007260C7"/>
    <w:rsid w:val="007263E1"/>
    <w:rsid w:val="00726433"/>
    <w:rsid w:val="00726EA6"/>
    <w:rsid w:val="00727208"/>
    <w:rsid w:val="007272AE"/>
    <w:rsid w:val="00727680"/>
    <w:rsid w:val="00730269"/>
    <w:rsid w:val="00730674"/>
    <w:rsid w:val="00731D8F"/>
    <w:rsid w:val="0073313D"/>
    <w:rsid w:val="00733C4D"/>
    <w:rsid w:val="00733FD0"/>
    <w:rsid w:val="007348B1"/>
    <w:rsid w:val="00734B1B"/>
    <w:rsid w:val="00735186"/>
    <w:rsid w:val="00735757"/>
    <w:rsid w:val="00735913"/>
    <w:rsid w:val="007362A6"/>
    <w:rsid w:val="00736411"/>
    <w:rsid w:val="00736643"/>
    <w:rsid w:val="00736AFB"/>
    <w:rsid w:val="00736D7D"/>
    <w:rsid w:val="007373C2"/>
    <w:rsid w:val="00737468"/>
    <w:rsid w:val="0073795A"/>
    <w:rsid w:val="007403FE"/>
    <w:rsid w:val="007405FB"/>
    <w:rsid w:val="00740775"/>
    <w:rsid w:val="00740E58"/>
    <w:rsid w:val="0074176B"/>
    <w:rsid w:val="00742002"/>
    <w:rsid w:val="00742387"/>
    <w:rsid w:val="007434CD"/>
    <w:rsid w:val="007435F5"/>
    <w:rsid w:val="00743744"/>
    <w:rsid w:val="007442C5"/>
    <w:rsid w:val="007445A0"/>
    <w:rsid w:val="00744A85"/>
    <w:rsid w:val="00744B2D"/>
    <w:rsid w:val="0074524B"/>
    <w:rsid w:val="007452E2"/>
    <w:rsid w:val="00747332"/>
    <w:rsid w:val="00747992"/>
    <w:rsid w:val="00747D8B"/>
    <w:rsid w:val="007504AE"/>
    <w:rsid w:val="00751228"/>
    <w:rsid w:val="0075153E"/>
    <w:rsid w:val="00751627"/>
    <w:rsid w:val="00752E43"/>
    <w:rsid w:val="00752FC7"/>
    <w:rsid w:val="00756130"/>
    <w:rsid w:val="007566F6"/>
    <w:rsid w:val="00756EA4"/>
    <w:rsid w:val="007571E1"/>
    <w:rsid w:val="00757D90"/>
    <w:rsid w:val="007604B2"/>
    <w:rsid w:val="007605C4"/>
    <w:rsid w:val="007610F5"/>
    <w:rsid w:val="0076143E"/>
    <w:rsid w:val="007645AE"/>
    <w:rsid w:val="0076463A"/>
    <w:rsid w:val="00764698"/>
    <w:rsid w:val="007646D5"/>
    <w:rsid w:val="00765281"/>
    <w:rsid w:val="00765BBF"/>
    <w:rsid w:val="00765C5F"/>
    <w:rsid w:val="00766BAD"/>
    <w:rsid w:val="007675EB"/>
    <w:rsid w:val="0076791C"/>
    <w:rsid w:val="00767F96"/>
    <w:rsid w:val="0077062C"/>
    <w:rsid w:val="007706DC"/>
    <w:rsid w:val="00770902"/>
    <w:rsid w:val="00770D10"/>
    <w:rsid w:val="00771499"/>
    <w:rsid w:val="007729A2"/>
    <w:rsid w:val="00773401"/>
    <w:rsid w:val="007735C3"/>
    <w:rsid w:val="00773F59"/>
    <w:rsid w:val="00774BA1"/>
    <w:rsid w:val="007755F2"/>
    <w:rsid w:val="007762C0"/>
    <w:rsid w:val="0077642F"/>
    <w:rsid w:val="00776971"/>
    <w:rsid w:val="0077790D"/>
    <w:rsid w:val="00780071"/>
    <w:rsid w:val="00780A80"/>
    <w:rsid w:val="007810C9"/>
    <w:rsid w:val="00781268"/>
    <w:rsid w:val="0078173F"/>
    <w:rsid w:val="00781757"/>
    <w:rsid w:val="0078177E"/>
    <w:rsid w:val="00782521"/>
    <w:rsid w:val="00782F48"/>
    <w:rsid w:val="0078304C"/>
    <w:rsid w:val="007835B6"/>
    <w:rsid w:val="00783673"/>
    <w:rsid w:val="00783E57"/>
    <w:rsid w:val="00784AAE"/>
    <w:rsid w:val="00785243"/>
    <w:rsid w:val="00785490"/>
    <w:rsid w:val="00787265"/>
    <w:rsid w:val="0079023A"/>
    <w:rsid w:val="00790872"/>
    <w:rsid w:val="00790A6F"/>
    <w:rsid w:val="00791833"/>
    <w:rsid w:val="007925EA"/>
    <w:rsid w:val="0079325D"/>
    <w:rsid w:val="00793485"/>
    <w:rsid w:val="00793CD8"/>
    <w:rsid w:val="00794AC3"/>
    <w:rsid w:val="00794D3F"/>
    <w:rsid w:val="00795C3A"/>
    <w:rsid w:val="00795C92"/>
    <w:rsid w:val="00796231"/>
    <w:rsid w:val="007962CB"/>
    <w:rsid w:val="007963C4"/>
    <w:rsid w:val="00796741"/>
    <w:rsid w:val="00796956"/>
    <w:rsid w:val="00797480"/>
    <w:rsid w:val="007975FA"/>
    <w:rsid w:val="007A01BD"/>
    <w:rsid w:val="007A032D"/>
    <w:rsid w:val="007A04A3"/>
    <w:rsid w:val="007A17E3"/>
    <w:rsid w:val="007A1A17"/>
    <w:rsid w:val="007A1CB3"/>
    <w:rsid w:val="007A27C1"/>
    <w:rsid w:val="007A306F"/>
    <w:rsid w:val="007A385F"/>
    <w:rsid w:val="007A3BCC"/>
    <w:rsid w:val="007A43A6"/>
    <w:rsid w:val="007A483C"/>
    <w:rsid w:val="007A492C"/>
    <w:rsid w:val="007A58A6"/>
    <w:rsid w:val="007A6309"/>
    <w:rsid w:val="007A674D"/>
    <w:rsid w:val="007A72AE"/>
    <w:rsid w:val="007A7797"/>
    <w:rsid w:val="007B00D7"/>
    <w:rsid w:val="007B149D"/>
    <w:rsid w:val="007B220A"/>
    <w:rsid w:val="007B24EA"/>
    <w:rsid w:val="007B25D4"/>
    <w:rsid w:val="007B3212"/>
    <w:rsid w:val="007B3D2D"/>
    <w:rsid w:val="007B50AE"/>
    <w:rsid w:val="007B51DF"/>
    <w:rsid w:val="007C05DD"/>
    <w:rsid w:val="007C1FA8"/>
    <w:rsid w:val="007C3D18"/>
    <w:rsid w:val="007C402D"/>
    <w:rsid w:val="007C40B1"/>
    <w:rsid w:val="007C52A9"/>
    <w:rsid w:val="007C60BF"/>
    <w:rsid w:val="007C612A"/>
    <w:rsid w:val="007C63F0"/>
    <w:rsid w:val="007C67B9"/>
    <w:rsid w:val="007C6A07"/>
    <w:rsid w:val="007C6BC6"/>
    <w:rsid w:val="007C71A7"/>
    <w:rsid w:val="007C75A1"/>
    <w:rsid w:val="007C77A5"/>
    <w:rsid w:val="007D0416"/>
    <w:rsid w:val="007D04E5"/>
    <w:rsid w:val="007D078F"/>
    <w:rsid w:val="007D225B"/>
    <w:rsid w:val="007D3DDC"/>
    <w:rsid w:val="007D4015"/>
    <w:rsid w:val="007D4C16"/>
    <w:rsid w:val="007D4EE1"/>
    <w:rsid w:val="007D5810"/>
    <w:rsid w:val="007D5901"/>
    <w:rsid w:val="007D6401"/>
    <w:rsid w:val="007D6471"/>
    <w:rsid w:val="007D7526"/>
    <w:rsid w:val="007D754C"/>
    <w:rsid w:val="007D7B9D"/>
    <w:rsid w:val="007E04D2"/>
    <w:rsid w:val="007E05C7"/>
    <w:rsid w:val="007E121D"/>
    <w:rsid w:val="007E18E0"/>
    <w:rsid w:val="007E1C66"/>
    <w:rsid w:val="007E2066"/>
    <w:rsid w:val="007E2167"/>
    <w:rsid w:val="007E2433"/>
    <w:rsid w:val="007E25EA"/>
    <w:rsid w:val="007E3230"/>
    <w:rsid w:val="007E39AC"/>
    <w:rsid w:val="007E413C"/>
    <w:rsid w:val="007E4610"/>
    <w:rsid w:val="007E4715"/>
    <w:rsid w:val="007E4EA4"/>
    <w:rsid w:val="007E505B"/>
    <w:rsid w:val="007E56B5"/>
    <w:rsid w:val="007E5A29"/>
    <w:rsid w:val="007E69B3"/>
    <w:rsid w:val="007E7091"/>
    <w:rsid w:val="007E79FD"/>
    <w:rsid w:val="007F2975"/>
    <w:rsid w:val="007F37FA"/>
    <w:rsid w:val="007F4966"/>
    <w:rsid w:val="007F53E7"/>
    <w:rsid w:val="007F5869"/>
    <w:rsid w:val="007F60DE"/>
    <w:rsid w:val="007F67C5"/>
    <w:rsid w:val="007F6ADA"/>
    <w:rsid w:val="007F74BD"/>
    <w:rsid w:val="007F762A"/>
    <w:rsid w:val="00801E22"/>
    <w:rsid w:val="00803FAE"/>
    <w:rsid w:val="008053B0"/>
    <w:rsid w:val="00805D71"/>
    <w:rsid w:val="0080605F"/>
    <w:rsid w:val="00807786"/>
    <w:rsid w:val="0081032C"/>
    <w:rsid w:val="00810522"/>
    <w:rsid w:val="00810FD8"/>
    <w:rsid w:val="008112AA"/>
    <w:rsid w:val="00811FCB"/>
    <w:rsid w:val="00812D69"/>
    <w:rsid w:val="0081328B"/>
    <w:rsid w:val="00814006"/>
    <w:rsid w:val="00814AC7"/>
    <w:rsid w:val="00814C26"/>
    <w:rsid w:val="0081574C"/>
    <w:rsid w:val="008157AE"/>
    <w:rsid w:val="008158D6"/>
    <w:rsid w:val="0081618A"/>
    <w:rsid w:val="00817196"/>
    <w:rsid w:val="008175B4"/>
    <w:rsid w:val="00820C72"/>
    <w:rsid w:val="00822604"/>
    <w:rsid w:val="0082299C"/>
    <w:rsid w:val="008235DB"/>
    <w:rsid w:val="00824AB4"/>
    <w:rsid w:val="00825C42"/>
    <w:rsid w:val="00825D25"/>
    <w:rsid w:val="00826420"/>
    <w:rsid w:val="0082649B"/>
    <w:rsid w:val="00826BCE"/>
    <w:rsid w:val="00827D6F"/>
    <w:rsid w:val="00827E29"/>
    <w:rsid w:val="00827EA3"/>
    <w:rsid w:val="008303A4"/>
    <w:rsid w:val="00830C1F"/>
    <w:rsid w:val="00830F42"/>
    <w:rsid w:val="00831586"/>
    <w:rsid w:val="00832CD0"/>
    <w:rsid w:val="00832EBD"/>
    <w:rsid w:val="008333F4"/>
    <w:rsid w:val="00833B02"/>
    <w:rsid w:val="00835277"/>
    <w:rsid w:val="008356AC"/>
    <w:rsid w:val="00835770"/>
    <w:rsid w:val="00835AF5"/>
    <w:rsid w:val="008363A4"/>
    <w:rsid w:val="008363B5"/>
    <w:rsid w:val="008366B6"/>
    <w:rsid w:val="008371E3"/>
    <w:rsid w:val="008376AC"/>
    <w:rsid w:val="00840B74"/>
    <w:rsid w:val="00840D32"/>
    <w:rsid w:val="00840DDB"/>
    <w:rsid w:val="00841089"/>
    <w:rsid w:val="00843099"/>
    <w:rsid w:val="0084348F"/>
    <w:rsid w:val="00843F41"/>
    <w:rsid w:val="008444E8"/>
    <w:rsid w:val="008446B9"/>
    <w:rsid w:val="00844E80"/>
    <w:rsid w:val="00844F3D"/>
    <w:rsid w:val="0084550F"/>
    <w:rsid w:val="00846B0D"/>
    <w:rsid w:val="00846FE7"/>
    <w:rsid w:val="00847C11"/>
    <w:rsid w:val="00847EC1"/>
    <w:rsid w:val="00850F86"/>
    <w:rsid w:val="00851CFA"/>
    <w:rsid w:val="00852E3F"/>
    <w:rsid w:val="008538D3"/>
    <w:rsid w:val="00854CAE"/>
    <w:rsid w:val="00854CE2"/>
    <w:rsid w:val="00855382"/>
    <w:rsid w:val="00855D60"/>
    <w:rsid w:val="008561EE"/>
    <w:rsid w:val="00856283"/>
    <w:rsid w:val="00856911"/>
    <w:rsid w:val="00857E27"/>
    <w:rsid w:val="0086049E"/>
    <w:rsid w:val="008604B4"/>
    <w:rsid w:val="008609AF"/>
    <w:rsid w:val="00861863"/>
    <w:rsid w:val="008628DE"/>
    <w:rsid w:val="00863B00"/>
    <w:rsid w:val="008651B2"/>
    <w:rsid w:val="008655BE"/>
    <w:rsid w:val="00865799"/>
    <w:rsid w:val="008659E7"/>
    <w:rsid w:val="008662F8"/>
    <w:rsid w:val="00866BD8"/>
    <w:rsid w:val="008677FD"/>
    <w:rsid w:val="00867C82"/>
    <w:rsid w:val="00870643"/>
    <w:rsid w:val="008706D4"/>
    <w:rsid w:val="00870D1D"/>
    <w:rsid w:val="00870F8A"/>
    <w:rsid w:val="008719A4"/>
    <w:rsid w:val="00871D23"/>
    <w:rsid w:val="0087220F"/>
    <w:rsid w:val="008726B1"/>
    <w:rsid w:val="00872CE1"/>
    <w:rsid w:val="00874312"/>
    <w:rsid w:val="0087437C"/>
    <w:rsid w:val="00875CD7"/>
    <w:rsid w:val="00875EF4"/>
    <w:rsid w:val="00876577"/>
    <w:rsid w:val="00876B2B"/>
    <w:rsid w:val="00876B4D"/>
    <w:rsid w:val="00876F21"/>
    <w:rsid w:val="00877F18"/>
    <w:rsid w:val="008801D6"/>
    <w:rsid w:val="0088027D"/>
    <w:rsid w:val="008828A2"/>
    <w:rsid w:val="00883350"/>
    <w:rsid w:val="0088347A"/>
    <w:rsid w:val="00883785"/>
    <w:rsid w:val="0088381E"/>
    <w:rsid w:val="00883C01"/>
    <w:rsid w:val="00884F7F"/>
    <w:rsid w:val="00886E66"/>
    <w:rsid w:val="00887F83"/>
    <w:rsid w:val="00890474"/>
    <w:rsid w:val="008908E6"/>
    <w:rsid w:val="008909CB"/>
    <w:rsid w:val="008918E1"/>
    <w:rsid w:val="00892DDC"/>
    <w:rsid w:val="008930A5"/>
    <w:rsid w:val="008941E3"/>
    <w:rsid w:val="0089457E"/>
    <w:rsid w:val="00894A88"/>
    <w:rsid w:val="00894B5E"/>
    <w:rsid w:val="00894E25"/>
    <w:rsid w:val="00895386"/>
    <w:rsid w:val="008959BA"/>
    <w:rsid w:val="00896870"/>
    <w:rsid w:val="0089703A"/>
    <w:rsid w:val="0089737A"/>
    <w:rsid w:val="0089763B"/>
    <w:rsid w:val="008977C4"/>
    <w:rsid w:val="008A017E"/>
    <w:rsid w:val="008A058D"/>
    <w:rsid w:val="008A180C"/>
    <w:rsid w:val="008A21FF"/>
    <w:rsid w:val="008A2CE2"/>
    <w:rsid w:val="008A30AC"/>
    <w:rsid w:val="008A44B8"/>
    <w:rsid w:val="008A51A8"/>
    <w:rsid w:val="008A52F7"/>
    <w:rsid w:val="008A54C7"/>
    <w:rsid w:val="008A54FE"/>
    <w:rsid w:val="008A5582"/>
    <w:rsid w:val="008A6343"/>
    <w:rsid w:val="008A77D8"/>
    <w:rsid w:val="008A7CCB"/>
    <w:rsid w:val="008B017F"/>
    <w:rsid w:val="008B0483"/>
    <w:rsid w:val="008B06C1"/>
    <w:rsid w:val="008B0743"/>
    <w:rsid w:val="008B120C"/>
    <w:rsid w:val="008B22EB"/>
    <w:rsid w:val="008B342F"/>
    <w:rsid w:val="008B3EC7"/>
    <w:rsid w:val="008B40DC"/>
    <w:rsid w:val="008B4B45"/>
    <w:rsid w:val="008B51A0"/>
    <w:rsid w:val="008B56B1"/>
    <w:rsid w:val="008B592A"/>
    <w:rsid w:val="008B5AA4"/>
    <w:rsid w:val="008B6BD0"/>
    <w:rsid w:val="008B6C82"/>
    <w:rsid w:val="008B7872"/>
    <w:rsid w:val="008B7B5C"/>
    <w:rsid w:val="008C0321"/>
    <w:rsid w:val="008C0C99"/>
    <w:rsid w:val="008C2017"/>
    <w:rsid w:val="008C2247"/>
    <w:rsid w:val="008C2250"/>
    <w:rsid w:val="008C267C"/>
    <w:rsid w:val="008C2BD9"/>
    <w:rsid w:val="008C318E"/>
    <w:rsid w:val="008C3E1C"/>
    <w:rsid w:val="008C489C"/>
    <w:rsid w:val="008C4958"/>
    <w:rsid w:val="008C4BAA"/>
    <w:rsid w:val="008C4C02"/>
    <w:rsid w:val="008C59CA"/>
    <w:rsid w:val="008C5EDF"/>
    <w:rsid w:val="008C5FF7"/>
    <w:rsid w:val="008C6AE8"/>
    <w:rsid w:val="008C6D9D"/>
    <w:rsid w:val="008C7573"/>
    <w:rsid w:val="008D0062"/>
    <w:rsid w:val="008D00A5"/>
    <w:rsid w:val="008D10A5"/>
    <w:rsid w:val="008D217B"/>
    <w:rsid w:val="008D29CE"/>
    <w:rsid w:val="008D2C43"/>
    <w:rsid w:val="008D2FBB"/>
    <w:rsid w:val="008D34F1"/>
    <w:rsid w:val="008D383A"/>
    <w:rsid w:val="008D39D8"/>
    <w:rsid w:val="008D4353"/>
    <w:rsid w:val="008D5229"/>
    <w:rsid w:val="008D614F"/>
    <w:rsid w:val="008D6BF2"/>
    <w:rsid w:val="008D6D1A"/>
    <w:rsid w:val="008D7779"/>
    <w:rsid w:val="008E065E"/>
    <w:rsid w:val="008E0927"/>
    <w:rsid w:val="008E0D24"/>
    <w:rsid w:val="008E18D8"/>
    <w:rsid w:val="008E1909"/>
    <w:rsid w:val="008E45F3"/>
    <w:rsid w:val="008E577C"/>
    <w:rsid w:val="008E57C0"/>
    <w:rsid w:val="008E6E10"/>
    <w:rsid w:val="008F1C4E"/>
    <w:rsid w:val="008F1EAB"/>
    <w:rsid w:val="008F25BB"/>
    <w:rsid w:val="008F334B"/>
    <w:rsid w:val="008F33DC"/>
    <w:rsid w:val="008F477F"/>
    <w:rsid w:val="008F493E"/>
    <w:rsid w:val="008F4EBC"/>
    <w:rsid w:val="008F5F34"/>
    <w:rsid w:val="008F6D99"/>
    <w:rsid w:val="008F7187"/>
    <w:rsid w:val="008F76D8"/>
    <w:rsid w:val="00901657"/>
    <w:rsid w:val="009020A5"/>
    <w:rsid w:val="009022F8"/>
    <w:rsid w:val="00902350"/>
    <w:rsid w:val="009029BA"/>
    <w:rsid w:val="00902CAF"/>
    <w:rsid w:val="0090336B"/>
    <w:rsid w:val="00903768"/>
    <w:rsid w:val="00903AFA"/>
    <w:rsid w:val="00903C6D"/>
    <w:rsid w:val="00903F94"/>
    <w:rsid w:val="00904DFD"/>
    <w:rsid w:val="00905006"/>
    <w:rsid w:val="009053AA"/>
    <w:rsid w:val="00906939"/>
    <w:rsid w:val="00907778"/>
    <w:rsid w:val="00907BC6"/>
    <w:rsid w:val="00910779"/>
    <w:rsid w:val="00910B7D"/>
    <w:rsid w:val="00911C81"/>
    <w:rsid w:val="00911DFB"/>
    <w:rsid w:val="0091290B"/>
    <w:rsid w:val="009133F4"/>
    <w:rsid w:val="009139D9"/>
    <w:rsid w:val="00914AD8"/>
    <w:rsid w:val="0091535F"/>
    <w:rsid w:val="00915CC3"/>
    <w:rsid w:val="00915D11"/>
    <w:rsid w:val="00916079"/>
    <w:rsid w:val="00917273"/>
    <w:rsid w:val="00917CE9"/>
    <w:rsid w:val="00920BF2"/>
    <w:rsid w:val="00921463"/>
    <w:rsid w:val="00922010"/>
    <w:rsid w:val="009227AA"/>
    <w:rsid w:val="00922BC7"/>
    <w:rsid w:val="00924CEC"/>
    <w:rsid w:val="00925BA0"/>
    <w:rsid w:val="00926355"/>
    <w:rsid w:val="009263DC"/>
    <w:rsid w:val="00926CA2"/>
    <w:rsid w:val="00930B3F"/>
    <w:rsid w:val="00930E0D"/>
    <w:rsid w:val="00931BD9"/>
    <w:rsid w:val="00931F78"/>
    <w:rsid w:val="00932F09"/>
    <w:rsid w:val="009334A3"/>
    <w:rsid w:val="00933745"/>
    <w:rsid w:val="009351D0"/>
    <w:rsid w:val="009368F3"/>
    <w:rsid w:val="00936AD6"/>
    <w:rsid w:val="00937E92"/>
    <w:rsid w:val="00940C82"/>
    <w:rsid w:val="00941636"/>
    <w:rsid w:val="00943717"/>
    <w:rsid w:val="00943742"/>
    <w:rsid w:val="00945C05"/>
    <w:rsid w:val="009462DD"/>
    <w:rsid w:val="009466C0"/>
    <w:rsid w:val="00946945"/>
    <w:rsid w:val="009472F1"/>
    <w:rsid w:val="009473D1"/>
    <w:rsid w:val="00947713"/>
    <w:rsid w:val="0094797F"/>
    <w:rsid w:val="00947B21"/>
    <w:rsid w:val="009503F4"/>
    <w:rsid w:val="00950DE7"/>
    <w:rsid w:val="0095152F"/>
    <w:rsid w:val="00952DDF"/>
    <w:rsid w:val="00952FE3"/>
    <w:rsid w:val="00953920"/>
    <w:rsid w:val="00953D47"/>
    <w:rsid w:val="00955BFF"/>
    <w:rsid w:val="00955CDA"/>
    <w:rsid w:val="0095681E"/>
    <w:rsid w:val="00956A36"/>
    <w:rsid w:val="009572D4"/>
    <w:rsid w:val="00957C66"/>
    <w:rsid w:val="009602C8"/>
    <w:rsid w:val="009605AB"/>
    <w:rsid w:val="00960C2E"/>
    <w:rsid w:val="009618EB"/>
    <w:rsid w:val="00961921"/>
    <w:rsid w:val="009625F8"/>
    <w:rsid w:val="009634A8"/>
    <w:rsid w:val="0096430A"/>
    <w:rsid w:val="0096554B"/>
    <w:rsid w:val="0096584A"/>
    <w:rsid w:val="0096604A"/>
    <w:rsid w:val="009708A7"/>
    <w:rsid w:val="00971F08"/>
    <w:rsid w:val="00971FBC"/>
    <w:rsid w:val="00972104"/>
    <w:rsid w:val="009735F3"/>
    <w:rsid w:val="0097375E"/>
    <w:rsid w:val="00973FDA"/>
    <w:rsid w:val="0097477F"/>
    <w:rsid w:val="00974A35"/>
    <w:rsid w:val="00974D7A"/>
    <w:rsid w:val="0097603D"/>
    <w:rsid w:val="00976266"/>
    <w:rsid w:val="00976949"/>
    <w:rsid w:val="00976C03"/>
    <w:rsid w:val="00977B37"/>
    <w:rsid w:val="00977D3E"/>
    <w:rsid w:val="00980369"/>
    <w:rsid w:val="00980477"/>
    <w:rsid w:val="00980507"/>
    <w:rsid w:val="00980B38"/>
    <w:rsid w:val="0098156A"/>
    <w:rsid w:val="0098353F"/>
    <w:rsid w:val="00983EA9"/>
    <w:rsid w:val="00985253"/>
    <w:rsid w:val="009853B3"/>
    <w:rsid w:val="00985AF9"/>
    <w:rsid w:val="0098601E"/>
    <w:rsid w:val="00987E26"/>
    <w:rsid w:val="00990630"/>
    <w:rsid w:val="009916D9"/>
    <w:rsid w:val="00991761"/>
    <w:rsid w:val="00992511"/>
    <w:rsid w:val="00992653"/>
    <w:rsid w:val="00993FAD"/>
    <w:rsid w:val="00994DCA"/>
    <w:rsid w:val="00994F2F"/>
    <w:rsid w:val="00996089"/>
    <w:rsid w:val="009960EC"/>
    <w:rsid w:val="009970DD"/>
    <w:rsid w:val="009A05C0"/>
    <w:rsid w:val="009A09BF"/>
    <w:rsid w:val="009A0E07"/>
    <w:rsid w:val="009A0FBA"/>
    <w:rsid w:val="009A102C"/>
    <w:rsid w:val="009A1601"/>
    <w:rsid w:val="009A1CCE"/>
    <w:rsid w:val="009A29D6"/>
    <w:rsid w:val="009A340D"/>
    <w:rsid w:val="009A375C"/>
    <w:rsid w:val="009A3BB6"/>
    <w:rsid w:val="009A462D"/>
    <w:rsid w:val="009A5CBA"/>
    <w:rsid w:val="009A618D"/>
    <w:rsid w:val="009A630D"/>
    <w:rsid w:val="009B015F"/>
    <w:rsid w:val="009B067E"/>
    <w:rsid w:val="009B1F30"/>
    <w:rsid w:val="009B2382"/>
    <w:rsid w:val="009B2D8E"/>
    <w:rsid w:val="009B31CE"/>
    <w:rsid w:val="009B3AC2"/>
    <w:rsid w:val="009B3AF1"/>
    <w:rsid w:val="009B3B8F"/>
    <w:rsid w:val="009B3E42"/>
    <w:rsid w:val="009B492B"/>
    <w:rsid w:val="009B4DF4"/>
    <w:rsid w:val="009B564E"/>
    <w:rsid w:val="009B5BD8"/>
    <w:rsid w:val="009B7E87"/>
    <w:rsid w:val="009C0169"/>
    <w:rsid w:val="009C282B"/>
    <w:rsid w:val="009C403E"/>
    <w:rsid w:val="009C4B1B"/>
    <w:rsid w:val="009C4F33"/>
    <w:rsid w:val="009C53B9"/>
    <w:rsid w:val="009C60D5"/>
    <w:rsid w:val="009C6B9E"/>
    <w:rsid w:val="009C7C66"/>
    <w:rsid w:val="009D0394"/>
    <w:rsid w:val="009D3097"/>
    <w:rsid w:val="009D42D9"/>
    <w:rsid w:val="009D4CA3"/>
    <w:rsid w:val="009D4FF0"/>
    <w:rsid w:val="009D61A3"/>
    <w:rsid w:val="009D703C"/>
    <w:rsid w:val="009D7056"/>
    <w:rsid w:val="009D705F"/>
    <w:rsid w:val="009D718F"/>
    <w:rsid w:val="009E068F"/>
    <w:rsid w:val="009E14E0"/>
    <w:rsid w:val="009E26FD"/>
    <w:rsid w:val="009E33F3"/>
    <w:rsid w:val="009E35DB"/>
    <w:rsid w:val="009E367F"/>
    <w:rsid w:val="009E36F7"/>
    <w:rsid w:val="009E419E"/>
    <w:rsid w:val="009E465A"/>
    <w:rsid w:val="009E47A3"/>
    <w:rsid w:val="009E535A"/>
    <w:rsid w:val="009E715E"/>
    <w:rsid w:val="009E71EE"/>
    <w:rsid w:val="009E737F"/>
    <w:rsid w:val="009E7901"/>
    <w:rsid w:val="009F06A5"/>
    <w:rsid w:val="009F08F3"/>
    <w:rsid w:val="009F0BD5"/>
    <w:rsid w:val="009F0C8A"/>
    <w:rsid w:val="009F1C18"/>
    <w:rsid w:val="009F23D7"/>
    <w:rsid w:val="009F344F"/>
    <w:rsid w:val="009F3F68"/>
    <w:rsid w:val="009F457F"/>
    <w:rsid w:val="009F608F"/>
    <w:rsid w:val="009F69A0"/>
    <w:rsid w:val="009F7246"/>
    <w:rsid w:val="009F7281"/>
    <w:rsid w:val="00A004E6"/>
    <w:rsid w:val="00A00641"/>
    <w:rsid w:val="00A008AD"/>
    <w:rsid w:val="00A0104A"/>
    <w:rsid w:val="00A026C7"/>
    <w:rsid w:val="00A02A3C"/>
    <w:rsid w:val="00A02EC8"/>
    <w:rsid w:val="00A031D8"/>
    <w:rsid w:val="00A0324F"/>
    <w:rsid w:val="00A044B8"/>
    <w:rsid w:val="00A048A8"/>
    <w:rsid w:val="00A04E92"/>
    <w:rsid w:val="00A04F49"/>
    <w:rsid w:val="00A054C7"/>
    <w:rsid w:val="00A057A7"/>
    <w:rsid w:val="00A07AD9"/>
    <w:rsid w:val="00A106D1"/>
    <w:rsid w:val="00A11F28"/>
    <w:rsid w:val="00A1244E"/>
    <w:rsid w:val="00A12EE9"/>
    <w:rsid w:val="00A1311D"/>
    <w:rsid w:val="00A13720"/>
    <w:rsid w:val="00A13E30"/>
    <w:rsid w:val="00A13E54"/>
    <w:rsid w:val="00A1400F"/>
    <w:rsid w:val="00A149EF"/>
    <w:rsid w:val="00A14EF6"/>
    <w:rsid w:val="00A1626F"/>
    <w:rsid w:val="00A17E88"/>
    <w:rsid w:val="00A17F63"/>
    <w:rsid w:val="00A20125"/>
    <w:rsid w:val="00A2012F"/>
    <w:rsid w:val="00A2193B"/>
    <w:rsid w:val="00A21D4E"/>
    <w:rsid w:val="00A21F76"/>
    <w:rsid w:val="00A224EB"/>
    <w:rsid w:val="00A2268A"/>
    <w:rsid w:val="00A229ED"/>
    <w:rsid w:val="00A22E9A"/>
    <w:rsid w:val="00A2351A"/>
    <w:rsid w:val="00A264A9"/>
    <w:rsid w:val="00A26DCF"/>
    <w:rsid w:val="00A26F12"/>
    <w:rsid w:val="00A27361"/>
    <w:rsid w:val="00A27785"/>
    <w:rsid w:val="00A27BBD"/>
    <w:rsid w:val="00A300E6"/>
    <w:rsid w:val="00A30187"/>
    <w:rsid w:val="00A30334"/>
    <w:rsid w:val="00A30DCD"/>
    <w:rsid w:val="00A31232"/>
    <w:rsid w:val="00A33CA6"/>
    <w:rsid w:val="00A3448A"/>
    <w:rsid w:val="00A34DEE"/>
    <w:rsid w:val="00A35669"/>
    <w:rsid w:val="00A36297"/>
    <w:rsid w:val="00A36596"/>
    <w:rsid w:val="00A36D9C"/>
    <w:rsid w:val="00A37A93"/>
    <w:rsid w:val="00A4008C"/>
    <w:rsid w:val="00A40170"/>
    <w:rsid w:val="00A40E9A"/>
    <w:rsid w:val="00A40F00"/>
    <w:rsid w:val="00A413B9"/>
    <w:rsid w:val="00A41E2B"/>
    <w:rsid w:val="00A41F05"/>
    <w:rsid w:val="00A4213D"/>
    <w:rsid w:val="00A4216A"/>
    <w:rsid w:val="00A429FC"/>
    <w:rsid w:val="00A42A73"/>
    <w:rsid w:val="00A4330E"/>
    <w:rsid w:val="00A43578"/>
    <w:rsid w:val="00A43A4E"/>
    <w:rsid w:val="00A44CF7"/>
    <w:rsid w:val="00A45B74"/>
    <w:rsid w:val="00A50419"/>
    <w:rsid w:val="00A50930"/>
    <w:rsid w:val="00A50A92"/>
    <w:rsid w:val="00A5180B"/>
    <w:rsid w:val="00A529F5"/>
    <w:rsid w:val="00A52B43"/>
    <w:rsid w:val="00A52E1D"/>
    <w:rsid w:val="00A5343C"/>
    <w:rsid w:val="00A54296"/>
    <w:rsid w:val="00A548D9"/>
    <w:rsid w:val="00A55126"/>
    <w:rsid w:val="00A575E0"/>
    <w:rsid w:val="00A61499"/>
    <w:rsid w:val="00A61A54"/>
    <w:rsid w:val="00A6200A"/>
    <w:rsid w:val="00A621D1"/>
    <w:rsid w:val="00A628ED"/>
    <w:rsid w:val="00A62A77"/>
    <w:rsid w:val="00A62C0F"/>
    <w:rsid w:val="00A6320E"/>
    <w:rsid w:val="00A6324A"/>
    <w:rsid w:val="00A63483"/>
    <w:rsid w:val="00A644E6"/>
    <w:rsid w:val="00A64956"/>
    <w:rsid w:val="00A657D7"/>
    <w:rsid w:val="00A660AC"/>
    <w:rsid w:val="00A66E15"/>
    <w:rsid w:val="00A6724C"/>
    <w:rsid w:val="00A67E6C"/>
    <w:rsid w:val="00A70FE7"/>
    <w:rsid w:val="00A71B99"/>
    <w:rsid w:val="00A71C6C"/>
    <w:rsid w:val="00A72DFF"/>
    <w:rsid w:val="00A73040"/>
    <w:rsid w:val="00A7313D"/>
    <w:rsid w:val="00A732AB"/>
    <w:rsid w:val="00A739D0"/>
    <w:rsid w:val="00A73D45"/>
    <w:rsid w:val="00A75CAB"/>
    <w:rsid w:val="00A761D4"/>
    <w:rsid w:val="00A76ABC"/>
    <w:rsid w:val="00A77EC4"/>
    <w:rsid w:val="00A80CAC"/>
    <w:rsid w:val="00A80FB3"/>
    <w:rsid w:val="00A8123C"/>
    <w:rsid w:val="00A82A66"/>
    <w:rsid w:val="00A82C28"/>
    <w:rsid w:val="00A82DCC"/>
    <w:rsid w:val="00A8407C"/>
    <w:rsid w:val="00A84EEC"/>
    <w:rsid w:val="00A8589C"/>
    <w:rsid w:val="00A865AE"/>
    <w:rsid w:val="00A86962"/>
    <w:rsid w:val="00A86BAC"/>
    <w:rsid w:val="00A86FFE"/>
    <w:rsid w:val="00A87177"/>
    <w:rsid w:val="00A87F54"/>
    <w:rsid w:val="00A90AAE"/>
    <w:rsid w:val="00A92879"/>
    <w:rsid w:val="00A92A47"/>
    <w:rsid w:val="00A935AC"/>
    <w:rsid w:val="00A936D8"/>
    <w:rsid w:val="00A93713"/>
    <w:rsid w:val="00A93B59"/>
    <w:rsid w:val="00A9442A"/>
    <w:rsid w:val="00A94C3B"/>
    <w:rsid w:val="00A94C7B"/>
    <w:rsid w:val="00A95A09"/>
    <w:rsid w:val="00A95D4D"/>
    <w:rsid w:val="00AA016F"/>
    <w:rsid w:val="00AA0E37"/>
    <w:rsid w:val="00AA1ED6"/>
    <w:rsid w:val="00AA2E33"/>
    <w:rsid w:val="00AA5185"/>
    <w:rsid w:val="00AA51D6"/>
    <w:rsid w:val="00AA5DC2"/>
    <w:rsid w:val="00AA6355"/>
    <w:rsid w:val="00AA67F1"/>
    <w:rsid w:val="00AA7AD6"/>
    <w:rsid w:val="00AA7E83"/>
    <w:rsid w:val="00AB05FA"/>
    <w:rsid w:val="00AB0BC8"/>
    <w:rsid w:val="00AB11CA"/>
    <w:rsid w:val="00AB14D9"/>
    <w:rsid w:val="00AB21C0"/>
    <w:rsid w:val="00AB256B"/>
    <w:rsid w:val="00AB27EE"/>
    <w:rsid w:val="00AB32C3"/>
    <w:rsid w:val="00AB47FD"/>
    <w:rsid w:val="00AB4AB8"/>
    <w:rsid w:val="00AB4AD0"/>
    <w:rsid w:val="00AB4B6E"/>
    <w:rsid w:val="00AB4D8E"/>
    <w:rsid w:val="00AB5DB0"/>
    <w:rsid w:val="00AB6132"/>
    <w:rsid w:val="00AB655E"/>
    <w:rsid w:val="00AB7A4E"/>
    <w:rsid w:val="00AB7BC8"/>
    <w:rsid w:val="00AB7EA5"/>
    <w:rsid w:val="00AB7FDA"/>
    <w:rsid w:val="00AC007F"/>
    <w:rsid w:val="00AC0E2B"/>
    <w:rsid w:val="00AC1220"/>
    <w:rsid w:val="00AC1434"/>
    <w:rsid w:val="00AC2546"/>
    <w:rsid w:val="00AC2578"/>
    <w:rsid w:val="00AC270B"/>
    <w:rsid w:val="00AC2ECD"/>
    <w:rsid w:val="00AC3119"/>
    <w:rsid w:val="00AC392D"/>
    <w:rsid w:val="00AC49FB"/>
    <w:rsid w:val="00AC5A10"/>
    <w:rsid w:val="00AC5E1B"/>
    <w:rsid w:val="00AC69E1"/>
    <w:rsid w:val="00AC6B33"/>
    <w:rsid w:val="00AC7032"/>
    <w:rsid w:val="00AC7A9B"/>
    <w:rsid w:val="00AC7C47"/>
    <w:rsid w:val="00AC7EB1"/>
    <w:rsid w:val="00AD074C"/>
    <w:rsid w:val="00AD079A"/>
    <w:rsid w:val="00AD0AA3"/>
    <w:rsid w:val="00AD2DAB"/>
    <w:rsid w:val="00AD2ED0"/>
    <w:rsid w:val="00AD2F9E"/>
    <w:rsid w:val="00AD338C"/>
    <w:rsid w:val="00AD3F94"/>
    <w:rsid w:val="00AD4A5A"/>
    <w:rsid w:val="00AD4B6A"/>
    <w:rsid w:val="00AD5163"/>
    <w:rsid w:val="00AD6269"/>
    <w:rsid w:val="00AE0595"/>
    <w:rsid w:val="00AE27AC"/>
    <w:rsid w:val="00AE2C95"/>
    <w:rsid w:val="00AE365F"/>
    <w:rsid w:val="00AE3E67"/>
    <w:rsid w:val="00AE4046"/>
    <w:rsid w:val="00AE40E0"/>
    <w:rsid w:val="00AE4DBA"/>
    <w:rsid w:val="00AE4F07"/>
    <w:rsid w:val="00AE553B"/>
    <w:rsid w:val="00AE5868"/>
    <w:rsid w:val="00AE59AE"/>
    <w:rsid w:val="00AE6DA6"/>
    <w:rsid w:val="00AE79BA"/>
    <w:rsid w:val="00AF031A"/>
    <w:rsid w:val="00AF0AAB"/>
    <w:rsid w:val="00AF11E9"/>
    <w:rsid w:val="00AF13D3"/>
    <w:rsid w:val="00AF1C5D"/>
    <w:rsid w:val="00AF2515"/>
    <w:rsid w:val="00AF2EE3"/>
    <w:rsid w:val="00AF35BF"/>
    <w:rsid w:val="00AF42D7"/>
    <w:rsid w:val="00AF5102"/>
    <w:rsid w:val="00AF5292"/>
    <w:rsid w:val="00AF613B"/>
    <w:rsid w:val="00AF668A"/>
    <w:rsid w:val="00AF796B"/>
    <w:rsid w:val="00B006FE"/>
    <w:rsid w:val="00B007CB"/>
    <w:rsid w:val="00B01CC3"/>
    <w:rsid w:val="00B02609"/>
    <w:rsid w:val="00B02AA9"/>
    <w:rsid w:val="00B02FA3"/>
    <w:rsid w:val="00B039D8"/>
    <w:rsid w:val="00B05084"/>
    <w:rsid w:val="00B05186"/>
    <w:rsid w:val="00B05B1D"/>
    <w:rsid w:val="00B05C6A"/>
    <w:rsid w:val="00B063A2"/>
    <w:rsid w:val="00B0699F"/>
    <w:rsid w:val="00B06E60"/>
    <w:rsid w:val="00B06E93"/>
    <w:rsid w:val="00B0759B"/>
    <w:rsid w:val="00B076E0"/>
    <w:rsid w:val="00B07D75"/>
    <w:rsid w:val="00B101A5"/>
    <w:rsid w:val="00B1149F"/>
    <w:rsid w:val="00B13655"/>
    <w:rsid w:val="00B13DB9"/>
    <w:rsid w:val="00B14120"/>
    <w:rsid w:val="00B14AA2"/>
    <w:rsid w:val="00B14EFB"/>
    <w:rsid w:val="00B157F9"/>
    <w:rsid w:val="00B16962"/>
    <w:rsid w:val="00B17803"/>
    <w:rsid w:val="00B20256"/>
    <w:rsid w:val="00B20AF5"/>
    <w:rsid w:val="00B20D09"/>
    <w:rsid w:val="00B21AF0"/>
    <w:rsid w:val="00B21D58"/>
    <w:rsid w:val="00B23282"/>
    <w:rsid w:val="00B23E75"/>
    <w:rsid w:val="00B2537A"/>
    <w:rsid w:val="00B26096"/>
    <w:rsid w:val="00B263C5"/>
    <w:rsid w:val="00B264D4"/>
    <w:rsid w:val="00B2652C"/>
    <w:rsid w:val="00B2763F"/>
    <w:rsid w:val="00B27AAC"/>
    <w:rsid w:val="00B30929"/>
    <w:rsid w:val="00B30C50"/>
    <w:rsid w:val="00B31C4B"/>
    <w:rsid w:val="00B32AEF"/>
    <w:rsid w:val="00B32B27"/>
    <w:rsid w:val="00B332D4"/>
    <w:rsid w:val="00B33817"/>
    <w:rsid w:val="00B34EEF"/>
    <w:rsid w:val="00B36A7A"/>
    <w:rsid w:val="00B36C38"/>
    <w:rsid w:val="00B36F3D"/>
    <w:rsid w:val="00B372AA"/>
    <w:rsid w:val="00B3738A"/>
    <w:rsid w:val="00B3791E"/>
    <w:rsid w:val="00B40445"/>
    <w:rsid w:val="00B405C9"/>
    <w:rsid w:val="00B407B9"/>
    <w:rsid w:val="00B40971"/>
    <w:rsid w:val="00B409E0"/>
    <w:rsid w:val="00B40FC3"/>
    <w:rsid w:val="00B41435"/>
    <w:rsid w:val="00B41888"/>
    <w:rsid w:val="00B41ED3"/>
    <w:rsid w:val="00B41FCA"/>
    <w:rsid w:val="00B43176"/>
    <w:rsid w:val="00B45621"/>
    <w:rsid w:val="00B45A52"/>
    <w:rsid w:val="00B45BF8"/>
    <w:rsid w:val="00B45E11"/>
    <w:rsid w:val="00B46175"/>
    <w:rsid w:val="00B50864"/>
    <w:rsid w:val="00B5151C"/>
    <w:rsid w:val="00B51C4F"/>
    <w:rsid w:val="00B53A10"/>
    <w:rsid w:val="00B54059"/>
    <w:rsid w:val="00B54215"/>
    <w:rsid w:val="00B54296"/>
    <w:rsid w:val="00B548B7"/>
    <w:rsid w:val="00B54FDE"/>
    <w:rsid w:val="00B550B2"/>
    <w:rsid w:val="00B55FDA"/>
    <w:rsid w:val="00B567B0"/>
    <w:rsid w:val="00B57366"/>
    <w:rsid w:val="00B57515"/>
    <w:rsid w:val="00B602D6"/>
    <w:rsid w:val="00B604BA"/>
    <w:rsid w:val="00B61E5B"/>
    <w:rsid w:val="00B62490"/>
    <w:rsid w:val="00B628AD"/>
    <w:rsid w:val="00B63039"/>
    <w:rsid w:val="00B63F38"/>
    <w:rsid w:val="00B642B1"/>
    <w:rsid w:val="00B64536"/>
    <w:rsid w:val="00B65CF3"/>
    <w:rsid w:val="00B661B3"/>
    <w:rsid w:val="00B664C7"/>
    <w:rsid w:val="00B668D8"/>
    <w:rsid w:val="00B6736A"/>
    <w:rsid w:val="00B674D3"/>
    <w:rsid w:val="00B70DD6"/>
    <w:rsid w:val="00B71C8E"/>
    <w:rsid w:val="00B71FE8"/>
    <w:rsid w:val="00B732C3"/>
    <w:rsid w:val="00B738DA"/>
    <w:rsid w:val="00B739F6"/>
    <w:rsid w:val="00B74174"/>
    <w:rsid w:val="00B74756"/>
    <w:rsid w:val="00B75177"/>
    <w:rsid w:val="00B75C9E"/>
    <w:rsid w:val="00B77283"/>
    <w:rsid w:val="00B7783A"/>
    <w:rsid w:val="00B81A6C"/>
    <w:rsid w:val="00B824DB"/>
    <w:rsid w:val="00B827A1"/>
    <w:rsid w:val="00B82DE2"/>
    <w:rsid w:val="00B82F2B"/>
    <w:rsid w:val="00B83425"/>
    <w:rsid w:val="00B83D8A"/>
    <w:rsid w:val="00B83F10"/>
    <w:rsid w:val="00B85DE5"/>
    <w:rsid w:val="00B86125"/>
    <w:rsid w:val="00B86A7B"/>
    <w:rsid w:val="00B876AD"/>
    <w:rsid w:val="00B87982"/>
    <w:rsid w:val="00B90C7C"/>
    <w:rsid w:val="00B90F73"/>
    <w:rsid w:val="00B9187B"/>
    <w:rsid w:val="00B921A9"/>
    <w:rsid w:val="00B9232B"/>
    <w:rsid w:val="00B925C2"/>
    <w:rsid w:val="00B92B0D"/>
    <w:rsid w:val="00B93B59"/>
    <w:rsid w:val="00B9406A"/>
    <w:rsid w:val="00B94217"/>
    <w:rsid w:val="00B949A5"/>
    <w:rsid w:val="00B971C1"/>
    <w:rsid w:val="00B97B5A"/>
    <w:rsid w:val="00BA0EE7"/>
    <w:rsid w:val="00BA1517"/>
    <w:rsid w:val="00BA17EC"/>
    <w:rsid w:val="00BA2280"/>
    <w:rsid w:val="00BA2539"/>
    <w:rsid w:val="00BA253E"/>
    <w:rsid w:val="00BA2A08"/>
    <w:rsid w:val="00BA434A"/>
    <w:rsid w:val="00BA4778"/>
    <w:rsid w:val="00BA56D2"/>
    <w:rsid w:val="00BA5DF0"/>
    <w:rsid w:val="00BA6A0B"/>
    <w:rsid w:val="00BA7576"/>
    <w:rsid w:val="00BA76E0"/>
    <w:rsid w:val="00BB1469"/>
    <w:rsid w:val="00BB1CE7"/>
    <w:rsid w:val="00BB293F"/>
    <w:rsid w:val="00BB2A25"/>
    <w:rsid w:val="00BB40FF"/>
    <w:rsid w:val="00BB51B5"/>
    <w:rsid w:val="00BB51E9"/>
    <w:rsid w:val="00BB5259"/>
    <w:rsid w:val="00BB64BD"/>
    <w:rsid w:val="00BB6DD8"/>
    <w:rsid w:val="00BB7569"/>
    <w:rsid w:val="00BC0101"/>
    <w:rsid w:val="00BC0FDC"/>
    <w:rsid w:val="00BC147B"/>
    <w:rsid w:val="00BC2815"/>
    <w:rsid w:val="00BC3053"/>
    <w:rsid w:val="00BC41AB"/>
    <w:rsid w:val="00BC4490"/>
    <w:rsid w:val="00BC4D2E"/>
    <w:rsid w:val="00BC5364"/>
    <w:rsid w:val="00BC62C0"/>
    <w:rsid w:val="00BC62FC"/>
    <w:rsid w:val="00BC6AFD"/>
    <w:rsid w:val="00BC748D"/>
    <w:rsid w:val="00BC767E"/>
    <w:rsid w:val="00BD074E"/>
    <w:rsid w:val="00BD19AB"/>
    <w:rsid w:val="00BD3218"/>
    <w:rsid w:val="00BD3B51"/>
    <w:rsid w:val="00BD48AC"/>
    <w:rsid w:val="00BD4D4D"/>
    <w:rsid w:val="00BD508A"/>
    <w:rsid w:val="00BD5E76"/>
    <w:rsid w:val="00BD5F1A"/>
    <w:rsid w:val="00BD6411"/>
    <w:rsid w:val="00BE0458"/>
    <w:rsid w:val="00BE04C6"/>
    <w:rsid w:val="00BE1234"/>
    <w:rsid w:val="00BE2FA6"/>
    <w:rsid w:val="00BE333F"/>
    <w:rsid w:val="00BE3D6F"/>
    <w:rsid w:val="00BE42E9"/>
    <w:rsid w:val="00BE44DC"/>
    <w:rsid w:val="00BE4AB1"/>
    <w:rsid w:val="00BE4D3E"/>
    <w:rsid w:val="00BE51E9"/>
    <w:rsid w:val="00BE5B1C"/>
    <w:rsid w:val="00BE6E6D"/>
    <w:rsid w:val="00BE7204"/>
    <w:rsid w:val="00BE7406"/>
    <w:rsid w:val="00BE7603"/>
    <w:rsid w:val="00BE7771"/>
    <w:rsid w:val="00BF02CC"/>
    <w:rsid w:val="00BF03E8"/>
    <w:rsid w:val="00BF3105"/>
    <w:rsid w:val="00BF3279"/>
    <w:rsid w:val="00BF42D5"/>
    <w:rsid w:val="00BF50B6"/>
    <w:rsid w:val="00BF5A13"/>
    <w:rsid w:val="00BF74C7"/>
    <w:rsid w:val="00BF7989"/>
    <w:rsid w:val="00BF7ABA"/>
    <w:rsid w:val="00C015F1"/>
    <w:rsid w:val="00C0181E"/>
    <w:rsid w:val="00C01F33"/>
    <w:rsid w:val="00C02CC6"/>
    <w:rsid w:val="00C03547"/>
    <w:rsid w:val="00C03A8B"/>
    <w:rsid w:val="00C040F7"/>
    <w:rsid w:val="00C044AB"/>
    <w:rsid w:val="00C04D2D"/>
    <w:rsid w:val="00C05706"/>
    <w:rsid w:val="00C05E7D"/>
    <w:rsid w:val="00C062AF"/>
    <w:rsid w:val="00C06D07"/>
    <w:rsid w:val="00C0719F"/>
    <w:rsid w:val="00C07377"/>
    <w:rsid w:val="00C0759B"/>
    <w:rsid w:val="00C103A2"/>
    <w:rsid w:val="00C10478"/>
    <w:rsid w:val="00C12107"/>
    <w:rsid w:val="00C14607"/>
    <w:rsid w:val="00C14D4B"/>
    <w:rsid w:val="00C1512D"/>
    <w:rsid w:val="00C154BB"/>
    <w:rsid w:val="00C15E0A"/>
    <w:rsid w:val="00C17968"/>
    <w:rsid w:val="00C17EDA"/>
    <w:rsid w:val="00C21261"/>
    <w:rsid w:val="00C23197"/>
    <w:rsid w:val="00C25467"/>
    <w:rsid w:val="00C279B5"/>
    <w:rsid w:val="00C27C45"/>
    <w:rsid w:val="00C27F31"/>
    <w:rsid w:val="00C310A8"/>
    <w:rsid w:val="00C31700"/>
    <w:rsid w:val="00C32FC3"/>
    <w:rsid w:val="00C352FD"/>
    <w:rsid w:val="00C35406"/>
    <w:rsid w:val="00C36DB7"/>
    <w:rsid w:val="00C3719D"/>
    <w:rsid w:val="00C37CB2"/>
    <w:rsid w:val="00C40098"/>
    <w:rsid w:val="00C413F0"/>
    <w:rsid w:val="00C4316F"/>
    <w:rsid w:val="00C46FD5"/>
    <w:rsid w:val="00C473A5"/>
    <w:rsid w:val="00C47911"/>
    <w:rsid w:val="00C47C7D"/>
    <w:rsid w:val="00C5146B"/>
    <w:rsid w:val="00C51C87"/>
    <w:rsid w:val="00C5419E"/>
    <w:rsid w:val="00C54995"/>
    <w:rsid w:val="00C54B41"/>
    <w:rsid w:val="00C54D41"/>
    <w:rsid w:val="00C557DE"/>
    <w:rsid w:val="00C55A05"/>
    <w:rsid w:val="00C568AC"/>
    <w:rsid w:val="00C60093"/>
    <w:rsid w:val="00C60673"/>
    <w:rsid w:val="00C60783"/>
    <w:rsid w:val="00C60EAA"/>
    <w:rsid w:val="00C60F74"/>
    <w:rsid w:val="00C624C8"/>
    <w:rsid w:val="00C636A8"/>
    <w:rsid w:val="00C63B0A"/>
    <w:rsid w:val="00C64672"/>
    <w:rsid w:val="00C6763B"/>
    <w:rsid w:val="00C67BB9"/>
    <w:rsid w:val="00C700E5"/>
    <w:rsid w:val="00C70397"/>
    <w:rsid w:val="00C70697"/>
    <w:rsid w:val="00C7099C"/>
    <w:rsid w:val="00C71838"/>
    <w:rsid w:val="00C71FF5"/>
    <w:rsid w:val="00C72093"/>
    <w:rsid w:val="00C727CF"/>
    <w:rsid w:val="00C72EF4"/>
    <w:rsid w:val="00C7315A"/>
    <w:rsid w:val="00C73386"/>
    <w:rsid w:val="00C7399B"/>
    <w:rsid w:val="00C744FE"/>
    <w:rsid w:val="00C7452B"/>
    <w:rsid w:val="00C7492F"/>
    <w:rsid w:val="00C758E2"/>
    <w:rsid w:val="00C75AF1"/>
    <w:rsid w:val="00C75D2F"/>
    <w:rsid w:val="00C767BE"/>
    <w:rsid w:val="00C76E3C"/>
    <w:rsid w:val="00C77F95"/>
    <w:rsid w:val="00C80744"/>
    <w:rsid w:val="00C80B3E"/>
    <w:rsid w:val="00C8133E"/>
    <w:rsid w:val="00C81568"/>
    <w:rsid w:val="00C81BCD"/>
    <w:rsid w:val="00C822FF"/>
    <w:rsid w:val="00C82CCF"/>
    <w:rsid w:val="00C83275"/>
    <w:rsid w:val="00C836D8"/>
    <w:rsid w:val="00C85A69"/>
    <w:rsid w:val="00C85DA0"/>
    <w:rsid w:val="00C8796D"/>
    <w:rsid w:val="00C9027A"/>
    <w:rsid w:val="00C9068E"/>
    <w:rsid w:val="00C90B4C"/>
    <w:rsid w:val="00C93814"/>
    <w:rsid w:val="00C93ACB"/>
    <w:rsid w:val="00C93C4B"/>
    <w:rsid w:val="00C9449D"/>
    <w:rsid w:val="00C944AB"/>
    <w:rsid w:val="00C94544"/>
    <w:rsid w:val="00C946BA"/>
    <w:rsid w:val="00C94D72"/>
    <w:rsid w:val="00C9503E"/>
    <w:rsid w:val="00C95B40"/>
    <w:rsid w:val="00C9768C"/>
    <w:rsid w:val="00C97EBF"/>
    <w:rsid w:val="00CA0BB5"/>
    <w:rsid w:val="00CA0D3A"/>
    <w:rsid w:val="00CA0E56"/>
    <w:rsid w:val="00CA146C"/>
    <w:rsid w:val="00CA1672"/>
    <w:rsid w:val="00CA1ED8"/>
    <w:rsid w:val="00CA3DF6"/>
    <w:rsid w:val="00CA4964"/>
    <w:rsid w:val="00CA4D57"/>
    <w:rsid w:val="00CA5A1A"/>
    <w:rsid w:val="00CA6CDC"/>
    <w:rsid w:val="00CA7542"/>
    <w:rsid w:val="00CA779C"/>
    <w:rsid w:val="00CB1205"/>
    <w:rsid w:val="00CB1630"/>
    <w:rsid w:val="00CB1F63"/>
    <w:rsid w:val="00CB2D5B"/>
    <w:rsid w:val="00CB3AFC"/>
    <w:rsid w:val="00CB4064"/>
    <w:rsid w:val="00CB7170"/>
    <w:rsid w:val="00CC040E"/>
    <w:rsid w:val="00CC111F"/>
    <w:rsid w:val="00CC2011"/>
    <w:rsid w:val="00CC2FB7"/>
    <w:rsid w:val="00CC3EA0"/>
    <w:rsid w:val="00CC5B42"/>
    <w:rsid w:val="00CC5C55"/>
    <w:rsid w:val="00CC7B45"/>
    <w:rsid w:val="00CD0448"/>
    <w:rsid w:val="00CD096D"/>
    <w:rsid w:val="00CD098A"/>
    <w:rsid w:val="00CD1188"/>
    <w:rsid w:val="00CD24CA"/>
    <w:rsid w:val="00CD2ED1"/>
    <w:rsid w:val="00CD337B"/>
    <w:rsid w:val="00CD68DB"/>
    <w:rsid w:val="00CD729F"/>
    <w:rsid w:val="00CE0424"/>
    <w:rsid w:val="00CE0BF7"/>
    <w:rsid w:val="00CE0FCD"/>
    <w:rsid w:val="00CE1B2B"/>
    <w:rsid w:val="00CE1E35"/>
    <w:rsid w:val="00CE2085"/>
    <w:rsid w:val="00CE28CA"/>
    <w:rsid w:val="00CE45CD"/>
    <w:rsid w:val="00CE50CF"/>
    <w:rsid w:val="00CE5384"/>
    <w:rsid w:val="00CE6211"/>
    <w:rsid w:val="00CE7561"/>
    <w:rsid w:val="00CE7EE4"/>
    <w:rsid w:val="00CF0593"/>
    <w:rsid w:val="00CF08A4"/>
    <w:rsid w:val="00CF1354"/>
    <w:rsid w:val="00CF395F"/>
    <w:rsid w:val="00CF3B1F"/>
    <w:rsid w:val="00CF3B69"/>
    <w:rsid w:val="00CF3BF6"/>
    <w:rsid w:val="00CF3F81"/>
    <w:rsid w:val="00CF47E8"/>
    <w:rsid w:val="00CF5B1D"/>
    <w:rsid w:val="00CF625B"/>
    <w:rsid w:val="00CF687E"/>
    <w:rsid w:val="00CF799E"/>
    <w:rsid w:val="00D00302"/>
    <w:rsid w:val="00D01417"/>
    <w:rsid w:val="00D017C4"/>
    <w:rsid w:val="00D0256F"/>
    <w:rsid w:val="00D0349B"/>
    <w:rsid w:val="00D03922"/>
    <w:rsid w:val="00D05978"/>
    <w:rsid w:val="00D06531"/>
    <w:rsid w:val="00D10249"/>
    <w:rsid w:val="00D1060F"/>
    <w:rsid w:val="00D10FED"/>
    <w:rsid w:val="00D112EB"/>
    <w:rsid w:val="00D115C3"/>
    <w:rsid w:val="00D11897"/>
    <w:rsid w:val="00D12223"/>
    <w:rsid w:val="00D12B9D"/>
    <w:rsid w:val="00D12E05"/>
    <w:rsid w:val="00D13135"/>
    <w:rsid w:val="00D133AF"/>
    <w:rsid w:val="00D13E4E"/>
    <w:rsid w:val="00D14F5C"/>
    <w:rsid w:val="00D1534B"/>
    <w:rsid w:val="00D16462"/>
    <w:rsid w:val="00D1729B"/>
    <w:rsid w:val="00D17475"/>
    <w:rsid w:val="00D20B95"/>
    <w:rsid w:val="00D21882"/>
    <w:rsid w:val="00D226F8"/>
    <w:rsid w:val="00D232A9"/>
    <w:rsid w:val="00D239A7"/>
    <w:rsid w:val="00D23F47"/>
    <w:rsid w:val="00D244F4"/>
    <w:rsid w:val="00D252F0"/>
    <w:rsid w:val="00D3052B"/>
    <w:rsid w:val="00D308C9"/>
    <w:rsid w:val="00D30C9B"/>
    <w:rsid w:val="00D31AC2"/>
    <w:rsid w:val="00D3220D"/>
    <w:rsid w:val="00D32DE6"/>
    <w:rsid w:val="00D3341B"/>
    <w:rsid w:val="00D35B35"/>
    <w:rsid w:val="00D36E71"/>
    <w:rsid w:val="00D37127"/>
    <w:rsid w:val="00D37488"/>
    <w:rsid w:val="00D37D87"/>
    <w:rsid w:val="00D401FA"/>
    <w:rsid w:val="00D40B33"/>
    <w:rsid w:val="00D41069"/>
    <w:rsid w:val="00D41415"/>
    <w:rsid w:val="00D41E7D"/>
    <w:rsid w:val="00D4318F"/>
    <w:rsid w:val="00D438BF"/>
    <w:rsid w:val="00D43BE3"/>
    <w:rsid w:val="00D43F6F"/>
    <w:rsid w:val="00D440F8"/>
    <w:rsid w:val="00D44431"/>
    <w:rsid w:val="00D44609"/>
    <w:rsid w:val="00D44A8A"/>
    <w:rsid w:val="00D45964"/>
    <w:rsid w:val="00D4639F"/>
    <w:rsid w:val="00D47F23"/>
    <w:rsid w:val="00D504A3"/>
    <w:rsid w:val="00D50AA0"/>
    <w:rsid w:val="00D51D31"/>
    <w:rsid w:val="00D51D69"/>
    <w:rsid w:val="00D51EA3"/>
    <w:rsid w:val="00D527FB"/>
    <w:rsid w:val="00D52FDC"/>
    <w:rsid w:val="00D53CB8"/>
    <w:rsid w:val="00D546FF"/>
    <w:rsid w:val="00D5535C"/>
    <w:rsid w:val="00D55764"/>
    <w:rsid w:val="00D55AD5"/>
    <w:rsid w:val="00D55FD1"/>
    <w:rsid w:val="00D564E6"/>
    <w:rsid w:val="00D56C5A"/>
    <w:rsid w:val="00D576CA"/>
    <w:rsid w:val="00D60752"/>
    <w:rsid w:val="00D610EB"/>
    <w:rsid w:val="00D6138E"/>
    <w:rsid w:val="00D61AF5"/>
    <w:rsid w:val="00D6223C"/>
    <w:rsid w:val="00D62859"/>
    <w:rsid w:val="00D62A3C"/>
    <w:rsid w:val="00D62DEE"/>
    <w:rsid w:val="00D6426E"/>
    <w:rsid w:val="00D64968"/>
    <w:rsid w:val="00D652B5"/>
    <w:rsid w:val="00D66155"/>
    <w:rsid w:val="00D67741"/>
    <w:rsid w:val="00D67D33"/>
    <w:rsid w:val="00D708B0"/>
    <w:rsid w:val="00D70FD8"/>
    <w:rsid w:val="00D71013"/>
    <w:rsid w:val="00D710BA"/>
    <w:rsid w:val="00D7121A"/>
    <w:rsid w:val="00D71DE2"/>
    <w:rsid w:val="00D7281A"/>
    <w:rsid w:val="00D7387C"/>
    <w:rsid w:val="00D73A26"/>
    <w:rsid w:val="00D75085"/>
    <w:rsid w:val="00D7523F"/>
    <w:rsid w:val="00D75BCF"/>
    <w:rsid w:val="00D77B1D"/>
    <w:rsid w:val="00D8021F"/>
    <w:rsid w:val="00D802A7"/>
    <w:rsid w:val="00D802F8"/>
    <w:rsid w:val="00D80383"/>
    <w:rsid w:val="00D80AF8"/>
    <w:rsid w:val="00D81CC4"/>
    <w:rsid w:val="00D8218D"/>
    <w:rsid w:val="00D823C6"/>
    <w:rsid w:val="00D825C9"/>
    <w:rsid w:val="00D827CD"/>
    <w:rsid w:val="00D8298F"/>
    <w:rsid w:val="00D82FFB"/>
    <w:rsid w:val="00D8327F"/>
    <w:rsid w:val="00D833A9"/>
    <w:rsid w:val="00D833C8"/>
    <w:rsid w:val="00D83449"/>
    <w:rsid w:val="00D83577"/>
    <w:rsid w:val="00D83899"/>
    <w:rsid w:val="00D84C78"/>
    <w:rsid w:val="00D855D3"/>
    <w:rsid w:val="00D86CA3"/>
    <w:rsid w:val="00D86F87"/>
    <w:rsid w:val="00D871CE"/>
    <w:rsid w:val="00D879E1"/>
    <w:rsid w:val="00D90287"/>
    <w:rsid w:val="00D9196D"/>
    <w:rsid w:val="00D92063"/>
    <w:rsid w:val="00D92067"/>
    <w:rsid w:val="00D92982"/>
    <w:rsid w:val="00D930B2"/>
    <w:rsid w:val="00D94DA5"/>
    <w:rsid w:val="00D95785"/>
    <w:rsid w:val="00D96E26"/>
    <w:rsid w:val="00D96E29"/>
    <w:rsid w:val="00D97730"/>
    <w:rsid w:val="00DA025F"/>
    <w:rsid w:val="00DA1465"/>
    <w:rsid w:val="00DA192E"/>
    <w:rsid w:val="00DA1DA9"/>
    <w:rsid w:val="00DA22A1"/>
    <w:rsid w:val="00DA2589"/>
    <w:rsid w:val="00DA28EC"/>
    <w:rsid w:val="00DA305E"/>
    <w:rsid w:val="00DA3DC9"/>
    <w:rsid w:val="00DA4A9E"/>
    <w:rsid w:val="00DA4E95"/>
    <w:rsid w:val="00DA5417"/>
    <w:rsid w:val="00DA56E8"/>
    <w:rsid w:val="00DA71CE"/>
    <w:rsid w:val="00DA76A8"/>
    <w:rsid w:val="00DA7BF0"/>
    <w:rsid w:val="00DB0743"/>
    <w:rsid w:val="00DB0A9F"/>
    <w:rsid w:val="00DB14C1"/>
    <w:rsid w:val="00DB3592"/>
    <w:rsid w:val="00DB3720"/>
    <w:rsid w:val="00DB377D"/>
    <w:rsid w:val="00DB39B9"/>
    <w:rsid w:val="00DB4105"/>
    <w:rsid w:val="00DB44D3"/>
    <w:rsid w:val="00DB46C5"/>
    <w:rsid w:val="00DB5061"/>
    <w:rsid w:val="00DB611B"/>
    <w:rsid w:val="00DB655F"/>
    <w:rsid w:val="00DB75C3"/>
    <w:rsid w:val="00DB7AE9"/>
    <w:rsid w:val="00DC0F13"/>
    <w:rsid w:val="00DC182D"/>
    <w:rsid w:val="00DC19EF"/>
    <w:rsid w:val="00DC1DCD"/>
    <w:rsid w:val="00DC2D36"/>
    <w:rsid w:val="00DC3459"/>
    <w:rsid w:val="00DC4058"/>
    <w:rsid w:val="00DC4293"/>
    <w:rsid w:val="00DC5317"/>
    <w:rsid w:val="00DC53EF"/>
    <w:rsid w:val="00DC575B"/>
    <w:rsid w:val="00DC6686"/>
    <w:rsid w:val="00DC6F1A"/>
    <w:rsid w:val="00DC7278"/>
    <w:rsid w:val="00DC7337"/>
    <w:rsid w:val="00DD1DA5"/>
    <w:rsid w:val="00DD27E1"/>
    <w:rsid w:val="00DD3863"/>
    <w:rsid w:val="00DD3FD0"/>
    <w:rsid w:val="00DD472A"/>
    <w:rsid w:val="00DD49D9"/>
    <w:rsid w:val="00DD589D"/>
    <w:rsid w:val="00DD58C7"/>
    <w:rsid w:val="00DD597E"/>
    <w:rsid w:val="00DD5F07"/>
    <w:rsid w:val="00DD6211"/>
    <w:rsid w:val="00DE3F19"/>
    <w:rsid w:val="00DE49EE"/>
    <w:rsid w:val="00DE4B46"/>
    <w:rsid w:val="00DE4B67"/>
    <w:rsid w:val="00DE5608"/>
    <w:rsid w:val="00DE58D0"/>
    <w:rsid w:val="00DE5F85"/>
    <w:rsid w:val="00DE654F"/>
    <w:rsid w:val="00DF01EA"/>
    <w:rsid w:val="00DF0B6E"/>
    <w:rsid w:val="00DF15E0"/>
    <w:rsid w:val="00DF316A"/>
    <w:rsid w:val="00DF3509"/>
    <w:rsid w:val="00DF37A0"/>
    <w:rsid w:val="00DF3812"/>
    <w:rsid w:val="00DF440B"/>
    <w:rsid w:val="00DF4ABC"/>
    <w:rsid w:val="00DF4DC0"/>
    <w:rsid w:val="00DF5183"/>
    <w:rsid w:val="00DF5C92"/>
    <w:rsid w:val="00DF5D5C"/>
    <w:rsid w:val="00DF6B3F"/>
    <w:rsid w:val="00E000FD"/>
    <w:rsid w:val="00E00D5D"/>
    <w:rsid w:val="00E02099"/>
    <w:rsid w:val="00E02258"/>
    <w:rsid w:val="00E02FA3"/>
    <w:rsid w:val="00E035B9"/>
    <w:rsid w:val="00E0436E"/>
    <w:rsid w:val="00E062FA"/>
    <w:rsid w:val="00E06978"/>
    <w:rsid w:val="00E110E7"/>
    <w:rsid w:val="00E1121C"/>
    <w:rsid w:val="00E11B20"/>
    <w:rsid w:val="00E13052"/>
    <w:rsid w:val="00E133D9"/>
    <w:rsid w:val="00E137F5"/>
    <w:rsid w:val="00E141AD"/>
    <w:rsid w:val="00E14246"/>
    <w:rsid w:val="00E14268"/>
    <w:rsid w:val="00E14AB1"/>
    <w:rsid w:val="00E16C0D"/>
    <w:rsid w:val="00E16D0C"/>
    <w:rsid w:val="00E17FA2"/>
    <w:rsid w:val="00E20235"/>
    <w:rsid w:val="00E20E47"/>
    <w:rsid w:val="00E22272"/>
    <w:rsid w:val="00E22330"/>
    <w:rsid w:val="00E22CC6"/>
    <w:rsid w:val="00E23C8F"/>
    <w:rsid w:val="00E244FA"/>
    <w:rsid w:val="00E247F5"/>
    <w:rsid w:val="00E2527E"/>
    <w:rsid w:val="00E257F2"/>
    <w:rsid w:val="00E25F46"/>
    <w:rsid w:val="00E26572"/>
    <w:rsid w:val="00E27470"/>
    <w:rsid w:val="00E30B5A"/>
    <w:rsid w:val="00E30D47"/>
    <w:rsid w:val="00E3123D"/>
    <w:rsid w:val="00E3126F"/>
    <w:rsid w:val="00E31461"/>
    <w:rsid w:val="00E31B92"/>
    <w:rsid w:val="00E31D43"/>
    <w:rsid w:val="00E321C3"/>
    <w:rsid w:val="00E32608"/>
    <w:rsid w:val="00E32948"/>
    <w:rsid w:val="00E32EE6"/>
    <w:rsid w:val="00E33634"/>
    <w:rsid w:val="00E338AB"/>
    <w:rsid w:val="00E34188"/>
    <w:rsid w:val="00E343DF"/>
    <w:rsid w:val="00E34B6E"/>
    <w:rsid w:val="00E35248"/>
    <w:rsid w:val="00E35559"/>
    <w:rsid w:val="00E35574"/>
    <w:rsid w:val="00E3599F"/>
    <w:rsid w:val="00E365EA"/>
    <w:rsid w:val="00E3723A"/>
    <w:rsid w:val="00E37860"/>
    <w:rsid w:val="00E41FC4"/>
    <w:rsid w:val="00E42302"/>
    <w:rsid w:val="00E428F6"/>
    <w:rsid w:val="00E431C4"/>
    <w:rsid w:val="00E44286"/>
    <w:rsid w:val="00E446F1"/>
    <w:rsid w:val="00E4538E"/>
    <w:rsid w:val="00E4541A"/>
    <w:rsid w:val="00E45FD0"/>
    <w:rsid w:val="00E4670D"/>
    <w:rsid w:val="00E46750"/>
    <w:rsid w:val="00E467ED"/>
    <w:rsid w:val="00E46886"/>
    <w:rsid w:val="00E46BE0"/>
    <w:rsid w:val="00E46E7E"/>
    <w:rsid w:val="00E473A3"/>
    <w:rsid w:val="00E4777F"/>
    <w:rsid w:val="00E47AEF"/>
    <w:rsid w:val="00E47FE7"/>
    <w:rsid w:val="00E502CD"/>
    <w:rsid w:val="00E50CFE"/>
    <w:rsid w:val="00E519FB"/>
    <w:rsid w:val="00E52781"/>
    <w:rsid w:val="00E53B75"/>
    <w:rsid w:val="00E54E3B"/>
    <w:rsid w:val="00E5545B"/>
    <w:rsid w:val="00E55476"/>
    <w:rsid w:val="00E571FC"/>
    <w:rsid w:val="00E57565"/>
    <w:rsid w:val="00E603C7"/>
    <w:rsid w:val="00E60B19"/>
    <w:rsid w:val="00E62178"/>
    <w:rsid w:val="00E63325"/>
    <w:rsid w:val="00E63838"/>
    <w:rsid w:val="00E63BBA"/>
    <w:rsid w:val="00E64434"/>
    <w:rsid w:val="00E647CC"/>
    <w:rsid w:val="00E64C77"/>
    <w:rsid w:val="00E6566C"/>
    <w:rsid w:val="00E674AE"/>
    <w:rsid w:val="00E67727"/>
    <w:rsid w:val="00E67C51"/>
    <w:rsid w:val="00E67F06"/>
    <w:rsid w:val="00E71461"/>
    <w:rsid w:val="00E7243C"/>
    <w:rsid w:val="00E727B7"/>
    <w:rsid w:val="00E72BDB"/>
    <w:rsid w:val="00E72EFC"/>
    <w:rsid w:val="00E73348"/>
    <w:rsid w:val="00E74935"/>
    <w:rsid w:val="00E75308"/>
    <w:rsid w:val="00E758EC"/>
    <w:rsid w:val="00E75916"/>
    <w:rsid w:val="00E767A0"/>
    <w:rsid w:val="00E808CF"/>
    <w:rsid w:val="00E80ACA"/>
    <w:rsid w:val="00E821DE"/>
    <w:rsid w:val="00E8234C"/>
    <w:rsid w:val="00E82483"/>
    <w:rsid w:val="00E83AA9"/>
    <w:rsid w:val="00E84404"/>
    <w:rsid w:val="00E850E2"/>
    <w:rsid w:val="00E8531E"/>
    <w:rsid w:val="00E855C8"/>
    <w:rsid w:val="00E85654"/>
    <w:rsid w:val="00E85928"/>
    <w:rsid w:val="00E85F76"/>
    <w:rsid w:val="00E86A2B"/>
    <w:rsid w:val="00E87035"/>
    <w:rsid w:val="00E87822"/>
    <w:rsid w:val="00E87FCD"/>
    <w:rsid w:val="00E9033E"/>
    <w:rsid w:val="00E90395"/>
    <w:rsid w:val="00E908B9"/>
    <w:rsid w:val="00E90DCC"/>
    <w:rsid w:val="00E90E49"/>
    <w:rsid w:val="00E917F9"/>
    <w:rsid w:val="00E920B7"/>
    <w:rsid w:val="00E92618"/>
    <w:rsid w:val="00E9291C"/>
    <w:rsid w:val="00E92E6B"/>
    <w:rsid w:val="00E93767"/>
    <w:rsid w:val="00E93FC6"/>
    <w:rsid w:val="00E93FFE"/>
    <w:rsid w:val="00E94388"/>
    <w:rsid w:val="00E94F8A"/>
    <w:rsid w:val="00E957E8"/>
    <w:rsid w:val="00E95A18"/>
    <w:rsid w:val="00E9614C"/>
    <w:rsid w:val="00E9628D"/>
    <w:rsid w:val="00EA1229"/>
    <w:rsid w:val="00EA132A"/>
    <w:rsid w:val="00EA2877"/>
    <w:rsid w:val="00EA2A8C"/>
    <w:rsid w:val="00EA360F"/>
    <w:rsid w:val="00EA3829"/>
    <w:rsid w:val="00EA7A41"/>
    <w:rsid w:val="00EA7E5A"/>
    <w:rsid w:val="00EB077B"/>
    <w:rsid w:val="00EB097F"/>
    <w:rsid w:val="00EB1374"/>
    <w:rsid w:val="00EB2415"/>
    <w:rsid w:val="00EB3D92"/>
    <w:rsid w:val="00EB4EA2"/>
    <w:rsid w:val="00EB5605"/>
    <w:rsid w:val="00EB5E84"/>
    <w:rsid w:val="00EB5FC9"/>
    <w:rsid w:val="00EB648C"/>
    <w:rsid w:val="00EB6591"/>
    <w:rsid w:val="00EB6D87"/>
    <w:rsid w:val="00EB7619"/>
    <w:rsid w:val="00EB7AC2"/>
    <w:rsid w:val="00EB7D37"/>
    <w:rsid w:val="00EC094D"/>
    <w:rsid w:val="00EC0AD6"/>
    <w:rsid w:val="00EC24D5"/>
    <w:rsid w:val="00EC27C6"/>
    <w:rsid w:val="00EC3EB2"/>
    <w:rsid w:val="00EC3EFD"/>
    <w:rsid w:val="00EC40B7"/>
    <w:rsid w:val="00EC4207"/>
    <w:rsid w:val="00EC4A0A"/>
    <w:rsid w:val="00EC50FA"/>
    <w:rsid w:val="00EC5653"/>
    <w:rsid w:val="00EC5BB9"/>
    <w:rsid w:val="00EC6B83"/>
    <w:rsid w:val="00EC6E20"/>
    <w:rsid w:val="00EC71CE"/>
    <w:rsid w:val="00ED0476"/>
    <w:rsid w:val="00ED0C87"/>
    <w:rsid w:val="00ED1006"/>
    <w:rsid w:val="00ED1999"/>
    <w:rsid w:val="00ED2633"/>
    <w:rsid w:val="00ED2684"/>
    <w:rsid w:val="00ED43B6"/>
    <w:rsid w:val="00ED560D"/>
    <w:rsid w:val="00ED7335"/>
    <w:rsid w:val="00ED77EB"/>
    <w:rsid w:val="00ED7835"/>
    <w:rsid w:val="00ED7F88"/>
    <w:rsid w:val="00EE1DA8"/>
    <w:rsid w:val="00EE2080"/>
    <w:rsid w:val="00EE2729"/>
    <w:rsid w:val="00EE295E"/>
    <w:rsid w:val="00EE29FB"/>
    <w:rsid w:val="00EE335D"/>
    <w:rsid w:val="00EE3873"/>
    <w:rsid w:val="00EE53A4"/>
    <w:rsid w:val="00EE564D"/>
    <w:rsid w:val="00EE5E31"/>
    <w:rsid w:val="00EE69AF"/>
    <w:rsid w:val="00EE6B0C"/>
    <w:rsid w:val="00EE6D3F"/>
    <w:rsid w:val="00EE7917"/>
    <w:rsid w:val="00EF18FE"/>
    <w:rsid w:val="00EF224B"/>
    <w:rsid w:val="00EF2461"/>
    <w:rsid w:val="00EF2F53"/>
    <w:rsid w:val="00EF4A3A"/>
    <w:rsid w:val="00EF4D22"/>
    <w:rsid w:val="00EF4F6F"/>
    <w:rsid w:val="00EF4FEF"/>
    <w:rsid w:val="00EF55D5"/>
    <w:rsid w:val="00EF5787"/>
    <w:rsid w:val="00EF5BC6"/>
    <w:rsid w:val="00EF60D0"/>
    <w:rsid w:val="00EF6F14"/>
    <w:rsid w:val="00EF7759"/>
    <w:rsid w:val="00F001C7"/>
    <w:rsid w:val="00F00F62"/>
    <w:rsid w:val="00F01181"/>
    <w:rsid w:val="00F01DB3"/>
    <w:rsid w:val="00F02E94"/>
    <w:rsid w:val="00F03DAF"/>
    <w:rsid w:val="00F05216"/>
    <w:rsid w:val="00F0528D"/>
    <w:rsid w:val="00F052AE"/>
    <w:rsid w:val="00F058F1"/>
    <w:rsid w:val="00F05CAB"/>
    <w:rsid w:val="00F0661E"/>
    <w:rsid w:val="00F06B9B"/>
    <w:rsid w:val="00F06C67"/>
    <w:rsid w:val="00F06DFD"/>
    <w:rsid w:val="00F06EEA"/>
    <w:rsid w:val="00F071D1"/>
    <w:rsid w:val="00F07533"/>
    <w:rsid w:val="00F10629"/>
    <w:rsid w:val="00F108AD"/>
    <w:rsid w:val="00F115DC"/>
    <w:rsid w:val="00F11CDD"/>
    <w:rsid w:val="00F11E6E"/>
    <w:rsid w:val="00F11F55"/>
    <w:rsid w:val="00F14383"/>
    <w:rsid w:val="00F150F8"/>
    <w:rsid w:val="00F157F2"/>
    <w:rsid w:val="00F158EF"/>
    <w:rsid w:val="00F15FA5"/>
    <w:rsid w:val="00F165DC"/>
    <w:rsid w:val="00F17FFB"/>
    <w:rsid w:val="00F209B7"/>
    <w:rsid w:val="00F212D3"/>
    <w:rsid w:val="00F22355"/>
    <w:rsid w:val="00F22AAB"/>
    <w:rsid w:val="00F22D7D"/>
    <w:rsid w:val="00F2376F"/>
    <w:rsid w:val="00F23853"/>
    <w:rsid w:val="00F243D8"/>
    <w:rsid w:val="00F24D62"/>
    <w:rsid w:val="00F256D6"/>
    <w:rsid w:val="00F25AB9"/>
    <w:rsid w:val="00F2601E"/>
    <w:rsid w:val="00F3016F"/>
    <w:rsid w:val="00F30828"/>
    <w:rsid w:val="00F3114E"/>
    <w:rsid w:val="00F313D6"/>
    <w:rsid w:val="00F3221A"/>
    <w:rsid w:val="00F325A5"/>
    <w:rsid w:val="00F32F78"/>
    <w:rsid w:val="00F332F1"/>
    <w:rsid w:val="00F3347A"/>
    <w:rsid w:val="00F337AD"/>
    <w:rsid w:val="00F34ECF"/>
    <w:rsid w:val="00F3549D"/>
    <w:rsid w:val="00F35A59"/>
    <w:rsid w:val="00F364BE"/>
    <w:rsid w:val="00F36C74"/>
    <w:rsid w:val="00F36E30"/>
    <w:rsid w:val="00F376AE"/>
    <w:rsid w:val="00F40984"/>
    <w:rsid w:val="00F40F0C"/>
    <w:rsid w:val="00F416C3"/>
    <w:rsid w:val="00F42229"/>
    <w:rsid w:val="00F42C43"/>
    <w:rsid w:val="00F4319B"/>
    <w:rsid w:val="00F432D3"/>
    <w:rsid w:val="00F45884"/>
    <w:rsid w:val="00F4588F"/>
    <w:rsid w:val="00F4640C"/>
    <w:rsid w:val="00F46EBB"/>
    <w:rsid w:val="00F4766C"/>
    <w:rsid w:val="00F5060E"/>
    <w:rsid w:val="00F507D1"/>
    <w:rsid w:val="00F50E36"/>
    <w:rsid w:val="00F519CE"/>
    <w:rsid w:val="00F51ADA"/>
    <w:rsid w:val="00F51BE3"/>
    <w:rsid w:val="00F53816"/>
    <w:rsid w:val="00F54057"/>
    <w:rsid w:val="00F54185"/>
    <w:rsid w:val="00F5498E"/>
    <w:rsid w:val="00F54DAA"/>
    <w:rsid w:val="00F553DA"/>
    <w:rsid w:val="00F56FA6"/>
    <w:rsid w:val="00F57369"/>
    <w:rsid w:val="00F60203"/>
    <w:rsid w:val="00F607C5"/>
    <w:rsid w:val="00F60A88"/>
    <w:rsid w:val="00F60DEA"/>
    <w:rsid w:val="00F6302A"/>
    <w:rsid w:val="00F63668"/>
    <w:rsid w:val="00F636B4"/>
    <w:rsid w:val="00F637F6"/>
    <w:rsid w:val="00F63950"/>
    <w:rsid w:val="00F63F81"/>
    <w:rsid w:val="00F6460A"/>
    <w:rsid w:val="00F6460B"/>
    <w:rsid w:val="00F64C2B"/>
    <w:rsid w:val="00F651BE"/>
    <w:rsid w:val="00F654B4"/>
    <w:rsid w:val="00F67F53"/>
    <w:rsid w:val="00F67FD8"/>
    <w:rsid w:val="00F703BE"/>
    <w:rsid w:val="00F71006"/>
    <w:rsid w:val="00F71849"/>
    <w:rsid w:val="00F71BC1"/>
    <w:rsid w:val="00F71F69"/>
    <w:rsid w:val="00F72764"/>
    <w:rsid w:val="00F72B72"/>
    <w:rsid w:val="00F7378F"/>
    <w:rsid w:val="00F74708"/>
    <w:rsid w:val="00F74BB9"/>
    <w:rsid w:val="00F75582"/>
    <w:rsid w:val="00F76700"/>
    <w:rsid w:val="00F76EFA"/>
    <w:rsid w:val="00F77087"/>
    <w:rsid w:val="00F779A2"/>
    <w:rsid w:val="00F804BE"/>
    <w:rsid w:val="00F80884"/>
    <w:rsid w:val="00F817CE"/>
    <w:rsid w:val="00F821BB"/>
    <w:rsid w:val="00F837D2"/>
    <w:rsid w:val="00F8456C"/>
    <w:rsid w:val="00F859D8"/>
    <w:rsid w:val="00F868F5"/>
    <w:rsid w:val="00F8726F"/>
    <w:rsid w:val="00F9056A"/>
    <w:rsid w:val="00F905A5"/>
    <w:rsid w:val="00F90F8D"/>
    <w:rsid w:val="00F91F83"/>
    <w:rsid w:val="00F92782"/>
    <w:rsid w:val="00F93AA9"/>
    <w:rsid w:val="00F94810"/>
    <w:rsid w:val="00F9510F"/>
    <w:rsid w:val="00F95561"/>
    <w:rsid w:val="00F96985"/>
    <w:rsid w:val="00F97340"/>
    <w:rsid w:val="00F97534"/>
    <w:rsid w:val="00F976B6"/>
    <w:rsid w:val="00F97838"/>
    <w:rsid w:val="00F97F28"/>
    <w:rsid w:val="00FA13BA"/>
    <w:rsid w:val="00FA1ACD"/>
    <w:rsid w:val="00FA2BB3"/>
    <w:rsid w:val="00FA2DA3"/>
    <w:rsid w:val="00FA33DA"/>
    <w:rsid w:val="00FA4CF0"/>
    <w:rsid w:val="00FA51F7"/>
    <w:rsid w:val="00FA7399"/>
    <w:rsid w:val="00FB075D"/>
    <w:rsid w:val="00FB0CDE"/>
    <w:rsid w:val="00FB1FCF"/>
    <w:rsid w:val="00FB34B2"/>
    <w:rsid w:val="00FB3E0F"/>
    <w:rsid w:val="00FB4C24"/>
    <w:rsid w:val="00FB4C80"/>
    <w:rsid w:val="00FB4D5A"/>
    <w:rsid w:val="00FB4FA4"/>
    <w:rsid w:val="00FB6A17"/>
    <w:rsid w:val="00FB6A6A"/>
    <w:rsid w:val="00FB6BEF"/>
    <w:rsid w:val="00FB7C1B"/>
    <w:rsid w:val="00FB7FFB"/>
    <w:rsid w:val="00FC05AC"/>
    <w:rsid w:val="00FC1F38"/>
    <w:rsid w:val="00FC239A"/>
    <w:rsid w:val="00FC2CFC"/>
    <w:rsid w:val="00FC7132"/>
    <w:rsid w:val="00FC73C6"/>
    <w:rsid w:val="00FC7429"/>
    <w:rsid w:val="00FC76B9"/>
    <w:rsid w:val="00FD00F3"/>
    <w:rsid w:val="00FD07F6"/>
    <w:rsid w:val="00FD14F2"/>
    <w:rsid w:val="00FD155E"/>
    <w:rsid w:val="00FD15CA"/>
    <w:rsid w:val="00FD1664"/>
    <w:rsid w:val="00FD16F4"/>
    <w:rsid w:val="00FD1EC8"/>
    <w:rsid w:val="00FD27A0"/>
    <w:rsid w:val="00FD3633"/>
    <w:rsid w:val="00FD39C6"/>
    <w:rsid w:val="00FD3E99"/>
    <w:rsid w:val="00FD40D2"/>
    <w:rsid w:val="00FD47ED"/>
    <w:rsid w:val="00FD5815"/>
    <w:rsid w:val="00FD6974"/>
    <w:rsid w:val="00FD6ABD"/>
    <w:rsid w:val="00FD74DB"/>
    <w:rsid w:val="00FD7660"/>
    <w:rsid w:val="00FE0655"/>
    <w:rsid w:val="00FE0B70"/>
    <w:rsid w:val="00FE11BC"/>
    <w:rsid w:val="00FE1E9D"/>
    <w:rsid w:val="00FE1FE0"/>
    <w:rsid w:val="00FE22B1"/>
    <w:rsid w:val="00FE2365"/>
    <w:rsid w:val="00FE29FD"/>
    <w:rsid w:val="00FE359F"/>
    <w:rsid w:val="00FE37D7"/>
    <w:rsid w:val="00FE3E61"/>
    <w:rsid w:val="00FE4976"/>
    <w:rsid w:val="00FE4C7B"/>
    <w:rsid w:val="00FE5BF4"/>
    <w:rsid w:val="00FE707B"/>
    <w:rsid w:val="00FE7336"/>
    <w:rsid w:val="00FE787C"/>
    <w:rsid w:val="00FE7F8F"/>
    <w:rsid w:val="00FF1220"/>
    <w:rsid w:val="00FF1E8F"/>
    <w:rsid w:val="00FF2C08"/>
    <w:rsid w:val="00FF3ACB"/>
    <w:rsid w:val="00FF45A5"/>
    <w:rsid w:val="00FF527D"/>
    <w:rsid w:val="00FF5C91"/>
    <w:rsid w:val="00FF6BC9"/>
    <w:rsid w:val="00FF7B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03EB9757-7E84-4319-8D2C-6A62C6ED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8E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618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8E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 w:type="character" w:styleId="UnresolvedMention">
    <w:name w:val="Unresolved Mention"/>
    <w:basedOn w:val="DefaultParagraphFont"/>
    <w:uiPriority w:val="99"/>
    <w:unhideWhenUsed/>
    <w:rsid w:val="000E5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4477">
      <w:bodyDiv w:val="1"/>
      <w:marLeft w:val="0"/>
      <w:marRight w:val="0"/>
      <w:marTop w:val="0"/>
      <w:marBottom w:val="0"/>
      <w:divBdr>
        <w:top w:val="none" w:sz="0" w:space="0" w:color="auto"/>
        <w:left w:val="none" w:sz="0" w:space="0" w:color="auto"/>
        <w:bottom w:val="none" w:sz="0" w:space="0" w:color="auto"/>
        <w:right w:val="none" w:sz="0" w:space="0" w:color="auto"/>
      </w:divBdr>
      <w:divsChild>
        <w:div w:id="523176123">
          <w:marLeft w:val="547"/>
          <w:marRight w:val="0"/>
          <w:marTop w:val="60"/>
          <w:marBottom w:val="0"/>
          <w:divBdr>
            <w:top w:val="none" w:sz="0" w:space="0" w:color="auto"/>
            <w:left w:val="none" w:sz="0" w:space="0" w:color="auto"/>
            <w:bottom w:val="none" w:sz="0" w:space="0" w:color="auto"/>
            <w:right w:val="none" w:sz="0" w:space="0" w:color="auto"/>
          </w:divBdr>
        </w:div>
      </w:divsChild>
    </w:div>
    <w:div w:id="124351790">
      <w:bodyDiv w:val="1"/>
      <w:marLeft w:val="0"/>
      <w:marRight w:val="0"/>
      <w:marTop w:val="0"/>
      <w:marBottom w:val="0"/>
      <w:divBdr>
        <w:top w:val="none" w:sz="0" w:space="0" w:color="auto"/>
        <w:left w:val="none" w:sz="0" w:space="0" w:color="auto"/>
        <w:bottom w:val="none" w:sz="0" w:space="0" w:color="auto"/>
        <w:right w:val="none" w:sz="0" w:space="0" w:color="auto"/>
      </w:divBdr>
      <w:divsChild>
        <w:div w:id="1158420061">
          <w:marLeft w:val="288"/>
          <w:marRight w:val="0"/>
          <w:marTop w:val="160"/>
          <w:marBottom w:val="180"/>
          <w:divBdr>
            <w:top w:val="none" w:sz="0" w:space="0" w:color="auto"/>
            <w:left w:val="none" w:sz="0" w:space="0" w:color="auto"/>
            <w:bottom w:val="none" w:sz="0" w:space="0" w:color="auto"/>
            <w:right w:val="none" w:sz="0" w:space="0" w:color="auto"/>
          </w:divBdr>
        </w:div>
      </w:divsChild>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8585336">
      <w:bodyDiv w:val="1"/>
      <w:marLeft w:val="0"/>
      <w:marRight w:val="0"/>
      <w:marTop w:val="0"/>
      <w:marBottom w:val="0"/>
      <w:divBdr>
        <w:top w:val="none" w:sz="0" w:space="0" w:color="auto"/>
        <w:left w:val="none" w:sz="0" w:space="0" w:color="auto"/>
        <w:bottom w:val="none" w:sz="0" w:space="0" w:color="auto"/>
        <w:right w:val="none" w:sz="0" w:space="0" w:color="auto"/>
      </w:divBdr>
      <w:divsChild>
        <w:div w:id="900675138">
          <w:marLeft w:val="288"/>
          <w:marRight w:val="0"/>
          <w:marTop w:val="160"/>
          <w:marBottom w:val="180"/>
          <w:divBdr>
            <w:top w:val="none" w:sz="0" w:space="0" w:color="auto"/>
            <w:left w:val="none" w:sz="0" w:space="0" w:color="auto"/>
            <w:bottom w:val="none" w:sz="0" w:space="0" w:color="auto"/>
            <w:right w:val="none" w:sz="0" w:space="0" w:color="auto"/>
          </w:divBdr>
        </w:div>
        <w:div w:id="1188638788">
          <w:marLeft w:val="288"/>
          <w:marRight w:val="0"/>
          <w:marTop w:val="160"/>
          <w:marBottom w:val="180"/>
          <w:divBdr>
            <w:top w:val="none" w:sz="0" w:space="0" w:color="auto"/>
            <w:left w:val="none" w:sz="0" w:space="0" w:color="auto"/>
            <w:bottom w:val="none" w:sz="0" w:space="0" w:color="auto"/>
            <w:right w:val="none" w:sz="0" w:space="0" w:color="auto"/>
          </w:divBdr>
        </w:div>
        <w:div w:id="1041246001">
          <w:marLeft w:val="576"/>
          <w:marRight w:val="0"/>
          <w:marTop w:val="160"/>
          <w:marBottom w:val="180"/>
          <w:divBdr>
            <w:top w:val="none" w:sz="0" w:space="0" w:color="auto"/>
            <w:left w:val="none" w:sz="0" w:space="0" w:color="auto"/>
            <w:bottom w:val="none" w:sz="0" w:space="0" w:color="auto"/>
            <w:right w:val="none" w:sz="0" w:space="0" w:color="auto"/>
          </w:divBdr>
        </w:div>
        <w:div w:id="1316760608">
          <w:marLeft w:val="288"/>
          <w:marRight w:val="0"/>
          <w:marTop w:val="160"/>
          <w:marBottom w:val="180"/>
          <w:divBdr>
            <w:top w:val="none" w:sz="0" w:space="0" w:color="auto"/>
            <w:left w:val="none" w:sz="0" w:space="0" w:color="auto"/>
            <w:bottom w:val="none" w:sz="0" w:space="0" w:color="auto"/>
            <w:right w:val="none" w:sz="0" w:space="0" w:color="auto"/>
          </w:divBdr>
        </w:div>
        <w:div w:id="1848593290">
          <w:marLeft w:val="576"/>
          <w:marRight w:val="0"/>
          <w:marTop w:val="160"/>
          <w:marBottom w:val="180"/>
          <w:divBdr>
            <w:top w:val="none" w:sz="0" w:space="0" w:color="auto"/>
            <w:left w:val="none" w:sz="0" w:space="0" w:color="auto"/>
            <w:bottom w:val="none" w:sz="0" w:space="0" w:color="auto"/>
            <w:right w:val="none" w:sz="0" w:space="0" w:color="auto"/>
          </w:divBdr>
        </w:div>
      </w:divsChild>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664616">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3287013">
      <w:bodyDiv w:val="1"/>
      <w:marLeft w:val="0"/>
      <w:marRight w:val="0"/>
      <w:marTop w:val="0"/>
      <w:marBottom w:val="0"/>
      <w:divBdr>
        <w:top w:val="none" w:sz="0" w:space="0" w:color="auto"/>
        <w:left w:val="none" w:sz="0" w:space="0" w:color="auto"/>
        <w:bottom w:val="none" w:sz="0" w:space="0" w:color="auto"/>
        <w:right w:val="none" w:sz="0" w:space="0" w:color="auto"/>
      </w:divBdr>
      <w:divsChild>
        <w:div w:id="1669165899">
          <w:marLeft w:val="533"/>
          <w:marRight w:val="0"/>
          <w:marTop w:val="60"/>
          <w:marBottom w:val="0"/>
          <w:divBdr>
            <w:top w:val="none" w:sz="0" w:space="0" w:color="auto"/>
            <w:left w:val="none" w:sz="0" w:space="0" w:color="auto"/>
            <w:bottom w:val="none" w:sz="0" w:space="0" w:color="auto"/>
            <w:right w:val="none" w:sz="0" w:space="0" w:color="auto"/>
          </w:divBdr>
        </w:div>
      </w:divsChild>
    </w:div>
    <w:div w:id="1285186136">
      <w:bodyDiv w:val="1"/>
      <w:marLeft w:val="0"/>
      <w:marRight w:val="0"/>
      <w:marTop w:val="0"/>
      <w:marBottom w:val="0"/>
      <w:divBdr>
        <w:top w:val="none" w:sz="0" w:space="0" w:color="auto"/>
        <w:left w:val="none" w:sz="0" w:space="0" w:color="auto"/>
        <w:bottom w:val="none" w:sz="0" w:space="0" w:color="auto"/>
        <w:right w:val="none" w:sz="0" w:space="0" w:color="auto"/>
      </w:divBdr>
      <w:divsChild>
        <w:div w:id="988900535">
          <w:marLeft w:val="288"/>
          <w:marRight w:val="0"/>
          <w:marTop w:val="160"/>
          <w:marBottom w:val="180"/>
          <w:divBdr>
            <w:top w:val="none" w:sz="0" w:space="0" w:color="auto"/>
            <w:left w:val="none" w:sz="0" w:space="0" w:color="auto"/>
            <w:bottom w:val="none" w:sz="0" w:space="0" w:color="auto"/>
            <w:right w:val="none" w:sz="0" w:space="0" w:color="auto"/>
          </w:divBdr>
        </w:div>
        <w:div w:id="1978993066">
          <w:marLeft w:val="288"/>
          <w:marRight w:val="0"/>
          <w:marTop w:val="160"/>
          <w:marBottom w:val="180"/>
          <w:divBdr>
            <w:top w:val="none" w:sz="0" w:space="0" w:color="auto"/>
            <w:left w:val="none" w:sz="0" w:space="0" w:color="auto"/>
            <w:bottom w:val="none" w:sz="0" w:space="0" w:color="auto"/>
            <w:right w:val="none" w:sz="0" w:space="0" w:color="auto"/>
          </w:divBdr>
        </w:div>
        <w:div w:id="572280961">
          <w:marLeft w:val="576"/>
          <w:marRight w:val="0"/>
          <w:marTop w:val="160"/>
          <w:marBottom w:val="180"/>
          <w:divBdr>
            <w:top w:val="none" w:sz="0" w:space="0" w:color="auto"/>
            <w:left w:val="none" w:sz="0" w:space="0" w:color="auto"/>
            <w:bottom w:val="none" w:sz="0" w:space="0" w:color="auto"/>
            <w:right w:val="none" w:sz="0" w:space="0" w:color="auto"/>
          </w:divBdr>
        </w:div>
        <w:div w:id="995913690">
          <w:marLeft w:val="288"/>
          <w:marRight w:val="0"/>
          <w:marTop w:val="160"/>
          <w:marBottom w:val="180"/>
          <w:divBdr>
            <w:top w:val="none" w:sz="0" w:space="0" w:color="auto"/>
            <w:left w:val="none" w:sz="0" w:space="0" w:color="auto"/>
            <w:bottom w:val="none" w:sz="0" w:space="0" w:color="auto"/>
            <w:right w:val="none" w:sz="0" w:space="0" w:color="auto"/>
          </w:divBdr>
        </w:div>
        <w:div w:id="1604341731">
          <w:marLeft w:val="576"/>
          <w:marRight w:val="0"/>
          <w:marTop w:val="160"/>
          <w:marBottom w:val="18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nk.springer.com/chapter/10.1007/978-3-030-58197-8_1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14AB9-4312-450E-93CB-C8EA68D43D2A}">
  <ds:schemaRefs>
    <ds:schemaRef ds:uri="http://schemas.openxmlformats.org/officeDocument/2006/bibliography"/>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59FD5AF-817A-4B27-ACD5-7320F1734419}"/>
</file>

<file path=docProps/app.xml><?xml version="1.0" encoding="utf-8"?>
<Properties xmlns="http://schemas.openxmlformats.org/officeDocument/2006/extended-properties" xmlns:vt="http://schemas.openxmlformats.org/officeDocument/2006/docPropsVTypes">
  <Template>Normal</Template>
  <TotalTime>5246</TotalTime>
  <Pages>13</Pages>
  <Words>4862</Words>
  <Characters>27500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32298</CharactersWithSpaces>
  <SharedDoc>false</SharedDoc>
  <HLinks>
    <vt:vector size="198" baseType="variant">
      <vt:variant>
        <vt:i4>5439610</vt:i4>
      </vt:variant>
      <vt:variant>
        <vt:i4>219</vt:i4>
      </vt:variant>
      <vt:variant>
        <vt:i4>0</vt:i4>
      </vt:variant>
      <vt:variant>
        <vt:i4>5</vt:i4>
      </vt:variant>
      <vt:variant>
        <vt:lpwstr>https://link.springer.com/chapter/10.1007/978-3-030-58197-8_12</vt:lpwstr>
      </vt:variant>
      <vt:variant>
        <vt:lpwstr/>
      </vt:variant>
      <vt:variant>
        <vt:i4>1507385</vt:i4>
      </vt:variant>
      <vt:variant>
        <vt:i4>158</vt:i4>
      </vt:variant>
      <vt:variant>
        <vt:i4>0</vt:i4>
      </vt:variant>
      <vt:variant>
        <vt:i4>5</vt:i4>
      </vt:variant>
      <vt:variant>
        <vt:lpwstr/>
      </vt:variant>
      <vt:variant>
        <vt:lpwstr>_Toc78658508</vt:lpwstr>
      </vt:variant>
      <vt:variant>
        <vt:i4>1572921</vt:i4>
      </vt:variant>
      <vt:variant>
        <vt:i4>155</vt:i4>
      </vt:variant>
      <vt:variant>
        <vt:i4>0</vt:i4>
      </vt:variant>
      <vt:variant>
        <vt:i4>5</vt:i4>
      </vt:variant>
      <vt:variant>
        <vt:lpwstr/>
      </vt:variant>
      <vt:variant>
        <vt:lpwstr>_Toc78658507</vt:lpwstr>
      </vt:variant>
      <vt:variant>
        <vt:i4>1638457</vt:i4>
      </vt:variant>
      <vt:variant>
        <vt:i4>152</vt:i4>
      </vt:variant>
      <vt:variant>
        <vt:i4>0</vt:i4>
      </vt:variant>
      <vt:variant>
        <vt:i4>5</vt:i4>
      </vt:variant>
      <vt:variant>
        <vt:lpwstr/>
      </vt:variant>
      <vt:variant>
        <vt:lpwstr>_Toc78658506</vt:lpwstr>
      </vt:variant>
      <vt:variant>
        <vt:i4>1703993</vt:i4>
      </vt:variant>
      <vt:variant>
        <vt:i4>149</vt:i4>
      </vt:variant>
      <vt:variant>
        <vt:i4>0</vt:i4>
      </vt:variant>
      <vt:variant>
        <vt:i4>5</vt:i4>
      </vt:variant>
      <vt:variant>
        <vt:lpwstr/>
      </vt:variant>
      <vt:variant>
        <vt:lpwstr>_Toc78658505</vt:lpwstr>
      </vt:variant>
      <vt:variant>
        <vt:i4>1769529</vt:i4>
      </vt:variant>
      <vt:variant>
        <vt:i4>146</vt:i4>
      </vt:variant>
      <vt:variant>
        <vt:i4>0</vt:i4>
      </vt:variant>
      <vt:variant>
        <vt:i4>5</vt:i4>
      </vt:variant>
      <vt:variant>
        <vt:lpwstr/>
      </vt:variant>
      <vt:variant>
        <vt:lpwstr>_Toc78658504</vt:lpwstr>
      </vt:variant>
      <vt:variant>
        <vt:i4>1835065</vt:i4>
      </vt:variant>
      <vt:variant>
        <vt:i4>143</vt:i4>
      </vt:variant>
      <vt:variant>
        <vt:i4>0</vt:i4>
      </vt:variant>
      <vt:variant>
        <vt:i4>5</vt:i4>
      </vt:variant>
      <vt:variant>
        <vt:lpwstr/>
      </vt:variant>
      <vt:variant>
        <vt:lpwstr>_Toc78658503</vt:lpwstr>
      </vt:variant>
      <vt:variant>
        <vt:i4>1900601</vt:i4>
      </vt:variant>
      <vt:variant>
        <vt:i4>140</vt:i4>
      </vt:variant>
      <vt:variant>
        <vt:i4>0</vt:i4>
      </vt:variant>
      <vt:variant>
        <vt:i4>5</vt:i4>
      </vt:variant>
      <vt:variant>
        <vt:lpwstr/>
      </vt:variant>
      <vt:variant>
        <vt:lpwstr>_Toc78658502</vt:lpwstr>
      </vt:variant>
      <vt:variant>
        <vt:i4>1966137</vt:i4>
      </vt:variant>
      <vt:variant>
        <vt:i4>137</vt:i4>
      </vt:variant>
      <vt:variant>
        <vt:i4>0</vt:i4>
      </vt:variant>
      <vt:variant>
        <vt:i4>5</vt:i4>
      </vt:variant>
      <vt:variant>
        <vt:lpwstr/>
      </vt:variant>
      <vt:variant>
        <vt:lpwstr>_Toc78658501</vt:lpwstr>
      </vt:variant>
      <vt:variant>
        <vt:i4>2031673</vt:i4>
      </vt:variant>
      <vt:variant>
        <vt:i4>134</vt:i4>
      </vt:variant>
      <vt:variant>
        <vt:i4>0</vt:i4>
      </vt:variant>
      <vt:variant>
        <vt:i4>5</vt:i4>
      </vt:variant>
      <vt:variant>
        <vt:lpwstr/>
      </vt:variant>
      <vt:variant>
        <vt:lpwstr>_Toc78658500</vt:lpwstr>
      </vt:variant>
      <vt:variant>
        <vt:i4>1507376</vt:i4>
      </vt:variant>
      <vt:variant>
        <vt:i4>131</vt:i4>
      </vt:variant>
      <vt:variant>
        <vt:i4>0</vt:i4>
      </vt:variant>
      <vt:variant>
        <vt:i4>5</vt:i4>
      </vt:variant>
      <vt:variant>
        <vt:lpwstr/>
      </vt:variant>
      <vt:variant>
        <vt:lpwstr>_Toc78658499</vt:lpwstr>
      </vt:variant>
      <vt:variant>
        <vt:i4>1638448</vt:i4>
      </vt:variant>
      <vt:variant>
        <vt:i4>128</vt:i4>
      </vt:variant>
      <vt:variant>
        <vt:i4>0</vt:i4>
      </vt:variant>
      <vt:variant>
        <vt:i4>5</vt:i4>
      </vt:variant>
      <vt:variant>
        <vt:lpwstr/>
      </vt:variant>
      <vt:variant>
        <vt:lpwstr>_Toc78658497</vt:lpwstr>
      </vt:variant>
      <vt:variant>
        <vt:i4>1572912</vt:i4>
      </vt:variant>
      <vt:variant>
        <vt:i4>125</vt:i4>
      </vt:variant>
      <vt:variant>
        <vt:i4>0</vt:i4>
      </vt:variant>
      <vt:variant>
        <vt:i4>5</vt:i4>
      </vt:variant>
      <vt:variant>
        <vt:lpwstr/>
      </vt:variant>
      <vt:variant>
        <vt:lpwstr>_Toc78658496</vt:lpwstr>
      </vt:variant>
      <vt:variant>
        <vt:i4>1769520</vt:i4>
      </vt:variant>
      <vt:variant>
        <vt:i4>122</vt:i4>
      </vt:variant>
      <vt:variant>
        <vt:i4>0</vt:i4>
      </vt:variant>
      <vt:variant>
        <vt:i4>5</vt:i4>
      </vt:variant>
      <vt:variant>
        <vt:lpwstr/>
      </vt:variant>
      <vt:variant>
        <vt:lpwstr>_Toc78658495</vt:lpwstr>
      </vt:variant>
      <vt:variant>
        <vt:i4>1703984</vt:i4>
      </vt:variant>
      <vt:variant>
        <vt:i4>119</vt:i4>
      </vt:variant>
      <vt:variant>
        <vt:i4>0</vt:i4>
      </vt:variant>
      <vt:variant>
        <vt:i4>5</vt:i4>
      </vt:variant>
      <vt:variant>
        <vt:lpwstr/>
      </vt:variant>
      <vt:variant>
        <vt:lpwstr>_Toc78658494</vt:lpwstr>
      </vt:variant>
      <vt:variant>
        <vt:i4>1900592</vt:i4>
      </vt:variant>
      <vt:variant>
        <vt:i4>116</vt:i4>
      </vt:variant>
      <vt:variant>
        <vt:i4>0</vt:i4>
      </vt:variant>
      <vt:variant>
        <vt:i4>5</vt:i4>
      </vt:variant>
      <vt:variant>
        <vt:lpwstr/>
      </vt:variant>
      <vt:variant>
        <vt:lpwstr>_Toc78658493</vt:lpwstr>
      </vt:variant>
      <vt:variant>
        <vt:i4>1835056</vt:i4>
      </vt:variant>
      <vt:variant>
        <vt:i4>113</vt:i4>
      </vt:variant>
      <vt:variant>
        <vt:i4>0</vt:i4>
      </vt:variant>
      <vt:variant>
        <vt:i4>5</vt:i4>
      </vt:variant>
      <vt:variant>
        <vt:lpwstr/>
      </vt:variant>
      <vt:variant>
        <vt:lpwstr>_Toc78658492</vt:lpwstr>
      </vt:variant>
      <vt:variant>
        <vt:i4>2031664</vt:i4>
      </vt:variant>
      <vt:variant>
        <vt:i4>110</vt:i4>
      </vt:variant>
      <vt:variant>
        <vt:i4>0</vt:i4>
      </vt:variant>
      <vt:variant>
        <vt:i4>5</vt:i4>
      </vt:variant>
      <vt:variant>
        <vt:lpwstr/>
      </vt:variant>
      <vt:variant>
        <vt:lpwstr>_Toc78658491</vt:lpwstr>
      </vt:variant>
      <vt:variant>
        <vt:i4>1966128</vt:i4>
      </vt:variant>
      <vt:variant>
        <vt:i4>107</vt:i4>
      </vt:variant>
      <vt:variant>
        <vt:i4>0</vt:i4>
      </vt:variant>
      <vt:variant>
        <vt:i4>5</vt:i4>
      </vt:variant>
      <vt:variant>
        <vt:lpwstr/>
      </vt:variant>
      <vt:variant>
        <vt:lpwstr>_Toc78658490</vt:lpwstr>
      </vt:variant>
      <vt:variant>
        <vt:i4>1507377</vt:i4>
      </vt:variant>
      <vt:variant>
        <vt:i4>104</vt:i4>
      </vt:variant>
      <vt:variant>
        <vt:i4>0</vt:i4>
      </vt:variant>
      <vt:variant>
        <vt:i4>5</vt:i4>
      </vt:variant>
      <vt:variant>
        <vt:lpwstr/>
      </vt:variant>
      <vt:variant>
        <vt:lpwstr>_Toc78658489</vt:lpwstr>
      </vt:variant>
      <vt:variant>
        <vt:i4>1441841</vt:i4>
      </vt:variant>
      <vt:variant>
        <vt:i4>59</vt:i4>
      </vt:variant>
      <vt:variant>
        <vt:i4>0</vt:i4>
      </vt:variant>
      <vt:variant>
        <vt:i4>5</vt:i4>
      </vt:variant>
      <vt:variant>
        <vt:lpwstr/>
      </vt:variant>
      <vt:variant>
        <vt:lpwstr>_Toc78658488</vt:lpwstr>
      </vt:variant>
      <vt:variant>
        <vt:i4>1638449</vt:i4>
      </vt:variant>
      <vt:variant>
        <vt:i4>56</vt:i4>
      </vt:variant>
      <vt:variant>
        <vt:i4>0</vt:i4>
      </vt:variant>
      <vt:variant>
        <vt:i4>5</vt:i4>
      </vt:variant>
      <vt:variant>
        <vt:lpwstr/>
      </vt:variant>
      <vt:variant>
        <vt:lpwstr>_Toc78658487</vt:lpwstr>
      </vt:variant>
      <vt:variant>
        <vt:i4>1572913</vt:i4>
      </vt:variant>
      <vt:variant>
        <vt:i4>53</vt:i4>
      </vt:variant>
      <vt:variant>
        <vt:i4>0</vt:i4>
      </vt:variant>
      <vt:variant>
        <vt:i4>5</vt:i4>
      </vt:variant>
      <vt:variant>
        <vt:lpwstr/>
      </vt:variant>
      <vt:variant>
        <vt:lpwstr>_Toc78658486</vt:lpwstr>
      </vt:variant>
      <vt:variant>
        <vt:i4>1769521</vt:i4>
      </vt:variant>
      <vt:variant>
        <vt:i4>50</vt:i4>
      </vt:variant>
      <vt:variant>
        <vt:i4>0</vt:i4>
      </vt:variant>
      <vt:variant>
        <vt:i4>5</vt:i4>
      </vt:variant>
      <vt:variant>
        <vt:lpwstr/>
      </vt:variant>
      <vt:variant>
        <vt:lpwstr>_Toc78658485</vt:lpwstr>
      </vt:variant>
      <vt:variant>
        <vt:i4>1703985</vt:i4>
      </vt:variant>
      <vt:variant>
        <vt:i4>47</vt:i4>
      </vt:variant>
      <vt:variant>
        <vt:i4>0</vt:i4>
      </vt:variant>
      <vt:variant>
        <vt:i4>5</vt:i4>
      </vt:variant>
      <vt:variant>
        <vt:lpwstr/>
      </vt:variant>
      <vt:variant>
        <vt:lpwstr>_Toc78658484</vt:lpwstr>
      </vt:variant>
      <vt:variant>
        <vt:i4>1900593</vt:i4>
      </vt:variant>
      <vt:variant>
        <vt:i4>44</vt:i4>
      </vt:variant>
      <vt:variant>
        <vt:i4>0</vt:i4>
      </vt:variant>
      <vt:variant>
        <vt:i4>5</vt:i4>
      </vt:variant>
      <vt:variant>
        <vt:lpwstr/>
      </vt:variant>
      <vt:variant>
        <vt:lpwstr>_Toc78658483</vt:lpwstr>
      </vt:variant>
      <vt:variant>
        <vt:i4>1835057</vt:i4>
      </vt:variant>
      <vt:variant>
        <vt:i4>41</vt:i4>
      </vt:variant>
      <vt:variant>
        <vt:i4>0</vt:i4>
      </vt:variant>
      <vt:variant>
        <vt:i4>5</vt:i4>
      </vt:variant>
      <vt:variant>
        <vt:lpwstr/>
      </vt:variant>
      <vt:variant>
        <vt:lpwstr>_Toc78658482</vt:lpwstr>
      </vt:variant>
      <vt:variant>
        <vt:i4>2031665</vt:i4>
      </vt:variant>
      <vt:variant>
        <vt:i4>38</vt:i4>
      </vt:variant>
      <vt:variant>
        <vt:i4>0</vt:i4>
      </vt:variant>
      <vt:variant>
        <vt:i4>5</vt:i4>
      </vt:variant>
      <vt:variant>
        <vt:lpwstr/>
      </vt:variant>
      <vt:variant>
        <vt:lpwstr>_Toc78658481</vt:lpwstr>
      </vt:variant>
      <vt:variant>
        <vt:i4>1966129</vt:i4>
      </vt:variant>
      <vt:variant>
        <vt:i4>35</vt:i4>
      </vt:variant>
      <vt:variant>
        <vt:i4>0</vt:i4>
      </vt:variant>
      <vt:variant>
        <vt:i4>5</vt:i4>
      </vt:variant>
      <vt:variant>
        <vt:lpwstr/>
      </vt:variant>
      <vt:variant>
        <vt:lpwstr>_Toc78658480</vt:lpwstr>
      </vt:variant>
      <vt:variant>
        <vt:i4>1507390</vt:i4>
      </vt:variant>
      <vt:variant>
        <vt:i4>32</vt:i4>
      </vt:variant>
      <vt:variant>
        <vt:i4>0</vt:i4>
      </vt:variant>
      <vt:variant>
        <vt:i4>5</vt:i4>
      </vt:variant>
      <vt:variant>
        <vt:lpwstr/>
      </vt:variant>
      <vt:variant>
        <vt:lpwstr>_Toc78658479</vt:lpwstr>
      </vt:variant>
      <vt:variant>
        <vt:i4>1441854</vt:i4>
      </vt:variant>
      <vt:variant>
        <vt:i4>29</vt:i4>
      </vt:variant>
      <vt:variant>
        <vt:i4>0</vt:i4>
      </vt:variant>
      <vt:variant>
        <vt:i4>5</vt:i4>
      </vt:variant>
      <vt:variant>
        <vt:lpwstr/>
      </vt:variant>
      <vt:variant>
        <vt:lpwstr>_Toc78658478</vt:lpwstr>
      </vt:variant>
      <vt:variant>
        <vt:i4>1638462</vt:i4>
      </vt:variant>
      <vt:variant>
        <vt:i4>26</vt:i4>
      </vt:variant>
      <vt:variant>
        <vt:i4>0</vt:i4>
      </vt:variant>
      <vt:variant>
        <vt:i4>5</vt:i4>
      </vt:variant>
      <vt:variant>
        <vt:lpwstr/>
      </vt:variant>
      <vt:variant>
        <vt:lpwstr>_Toc78658477</vt:lpwstr>
      </vt:variant>
      <vt:variant>
        <vt:i4>1572926</vt:i4>
      </vt:variant>
      <vt:variant>
        <vt:i4>23</vt:i4>
      </vt:variant>
      <vt:variant>
        <vt:i4>0</vt:i4>
      </vt:variant>
      <vt:variant>
        <vt:i4>5</vt:i4>
      </vt:variant>
      <vt:variant>
        <vt:lpwstr/>
      </vt:variant>
      <vt:variant>
        <vt:lpwstr>_Toc78658476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1695</cp:revision>
  <dcterms:created xsi:type="dcterms:W3CDTF">2019-05-04T12:01:00Z</dcterms:created>
  <dcterms:modified xsi:type="dcterms:W3CDTF">2021-10-01T20:18:00Z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